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5C5E">
      <w:pPr>
        <w:pStyle w:val="Heading1"/>
        <w:jc w:val="center"/>
        <w:rPr>
          <w:rFonts w:eastAsia="Times New Roman"/>
        </w:rPr>
      </w:pPr>
      <w:r>
        <w:rPr>
          <w:rFonts w:ascii="Arial" w:eastAsia="Times New Roman" w:hAnsi="Arial" w:cs="Arial"/>
        </w:rPr>
        <w:t>Assessment of Biochemistry/Molecular Biology (BMB) Foundational Concepts</w:t>
      </w:r>
    </w:p>
    <w:p w:rsidR="00000000" w:rsidRDefault="007F5C5E">
      <w:pPr>
        <w:pStyle w:val="auto-style3"/>
        <w:jc w:val="center"/>
      </w:pPr>
      <w:hyperlink r:id="rId7" w:history="1">
        <w:r>
          <w:rPr>
            <w:rStyle w:val="Hyperlink"/>
          </w:rPr>
          <w:t>Henry Jakubowski</w:t>
        </w:r>
      </w:hyperlink>
      <w:r>
        <w:t xml:space="preserve">, Ph.D., Professor, </w:t>
      </w:r>
      <w:hyperlink r:id="rId8" w:history="1">
        <w:r>
          <w:rPr>
            <w:rStyle w:val="Hyperlink"/>
          </w:rPr>
          <w:t>Chemistry Department</w:t>
        </w:r>
      </w:hyperlink>
      <w:r>
        <w:t xml:space="preserve">, </w:t>
      </w:r>
      <w:hyperlink r:id="rId9" w:history="1">
        <w:r>
          <w:rPr>
            <w:rStyle w:val="Hyperlink"/>
          </w:rPr>
          <w:t>College of Saint Benedict/Saint John's University</w:t>
        </w:r>
      </w:hyperlink>
    </w:p>
    <w:p w:rsidR="00000000" w:rsidRDefault="007F5C5E">
      <w:pPr>
        <w:rPr>
          <w:rFonts w:eastAsia="Times New Roman"/>
        </w:rPr>
      </w:pPr>
      <w:r>
        <w:rPr>
          <w:rFonts w:eastAsia="Times New Roman"/>
        </w:rPr>
        <w:t xml:space="preserve">  </w:t>
      </w:r>
    </w:p>
    <w:p w:rsidR="00000000" w:rsidRDefault="007F5C5E">
      <w:pPr>
        <w:jc w:val="center"/>
        <w:rPr>
          <w:rFonts w:eastAsia="Times New Roman"/>
        </w:rPr>
      </w:pPr>
      <w:r>
        <w:rPr>
          <w:rFonts w:eastAsia="Times New Roman"/>
        </w:rPr>
        <w:pict/>
      </w:r>
    </w:p>
    <w:p w:rsidR="00000000" w:rsidRDefault="007F5C5E">
      <w:pPr>
        <w:pStyle w:val="auto-style13"/>
      </w:pPr>
      <w:r>
        <w:rPr>
          <w:rStyle w:val="Strong"/>
        </w:rPr>
        <w:t>Thermodynamics of Binding Interactions</w:t>
      </w:r>
    </w:p>
    <w:p w:rsidR="00000000" w:rsidRDefault="007F5C5E">
      <w:pPr>
        <w:pStyle w:val="NormalWeb"/>
      </w:pPr>
      <w:r>
        <w:rPr>
          <w:rFonts w:ascii="Arial" w:hAnsi="Arial" w:cs="Arial"/>
        </w:rPr>
        <w:t xml:space="preserve">The questions below are based on data, graphs, and figures from the following article: </w:t>
      </w:r>
    </w:p>
    <w:p w:rsidR="00000000" w:rsidRDefault="007F5C5E">
      <w:pPr>
        <w:pStyle w:val="NormalWeb"/>
      </w:pPr>
      <w:r>
        <w:t>T</w:t>
      </w:r>
      <w:r>
        <w:t>hermodynamics of the GTP-GDP-operated Conformational Switch of Selenocysteine-specific Translation Factor SelB.</w:t>
      </w:r>
      <w:r>
        <w:rPr>
          <w:rFonts w:ascii="Arial" w:hAnsi="Arial" w:cs="Arial"/>
        </w:rPr>
        <w:t xml:space="preserve"> </w:t>
      </w:r>
      <w:hyperlink r:id="rId10" w:history="1">
        <w:r>
          <w:rPr>
            <w:rStyle w:val="Hyperlink"/>
            <w:rFonts w:ascii="Arial" w:hAnsi="Arial" w:cs="Arial"/>
          </w:rPr>
          <w:t>Alena Paleskava</w:t>
        </w:r>
      </w:hyperlink>
      <w:r>
        <w:rPr>
          <w:rFonts w:ascii="Arial" w:hAnsi="Arial" w:cs="Arial"/>
        </w:rPr>
        <w:t xml:space="preserve">, </w:t>
      </w:r>
      <w:hyperlink r:id="rId11" w:history="1">
        <w:r>
          <w:rPr>
            <w:rStyle w:val="Hyperlink"/>
            <w:rFonts w:ascii="Arial" w:hAnsi="Arial" w:cs="Arial"/>
          </w:rPr>
          <w:t>Andrey L. Konevega</w:t>
        </w:r>
      </w:hyperlink>
      <w:r>
        <w:rPr>
          <w:rFonts w:ascii="Arial" w:hAnsi="Arial" w:cs="Arial"/>
        </w:rPr>
        <w:t xml:space="preserve"> and </w:t>
      </w:r>
      <w:hyperlink r:id="rId12" w:history="1">
        <w:r>
          <w:rPr>
            <w:rStyle w:val="Hyperlink"/>
            <w:rFonts w:ascii="Arial" w:hAnsi="Arial" w:cs="Arial"/>
          </w:rPr>
          <w:t>Marina V. Rodnina</w:t>
        </w:r>
      </w:hyperlink>
      <w:r>
        <w:rPr>
          <w:rFonts w:ascii="Arial" w:hAnsi="Arial" w:cs="Arial"/>
        </w:rPr>
        <w:t xml:space="preserve"> . </w:t>
      </w:r>
      <w:r>
        <w:rPr>
          <w:rStyle w:val="Emphasis"/>
          <w:rFonts w:cs="Arial"/>
        </w:rPr>
        <w:t>The Journal of Biological Chemistr</w:t>
      </w:r>
      <w:r>
        <w:rPr>
          <w:rFonts w:ascii="Arial" w:hAnsi="Arial" w:cs="Arial"/>
        </w:rPr>
        <w:t xml:space="preserve">y, </w:t>
      </w:r>
      <w:r>
        <w:rPr>
          <w:rStyle w:val="Strong"/>
          <w:rFonts w:ascii="Arial" w:hAnsi="Arial" w:cs="Arial"/>
        </w:rPr>
        <w:t>287</w:t>
      </w:r>
      <w:r>
        <w:rPr>
          <w:rFonts w:ascii="Arial" w:hAnsi="Arial" w:cs="Arial"/>
        </w:rPr>
        <w:t xml:space="preserve">, </w:t>
      </w:r>
      <w:r>
        <w:rPr>
          <w:rStyle w:val="slug-pages"/>
          <w:rFonts w:ascii="Arial" w:hAnsi="Arial" w:cs="Arial"/>
          <w:i/>
          <w:iCs/>
        </w:rPr>
        <w:t>27906-27912 (2012)</w:t>
      </w:r>
      <w:r>
        <w:rPr>
          <w:rFonts w:ascii="Arial" w:hAnsi="Arial" w:cs="Arial"/>
        </w:rPr>
        <w:t xml:space="preserve">.  doi: 10.1074/jbc.M112.366120  .  </w:t>
      </w:r>
    </w:p>
    <w:p w:rsidR="00000000" w:rsidRDefault="007F5C5E">
      <w:pPr>
        <w:pStyle w:val="NormalWeb"/>
      </w:pPr>
      <w:hyperlink r:id="rId13" w:history="1">
        <w:r>
          <w:rPr>
            <w:rStyle w:val="Hyperlink"/>
          </w:rPr>
          <w:t>These guidelines</w:t>
        </w:r>
      </w:hyperlink>
      <w:r>
        <w:t xml:space="preserve"> apply to the reuse of articles, figures,</w:t>
      </w:r>
      <w:r>
        <w:t xml:space="preserve"> charts and photos in the Journal of Biological Chemistry, Molecular &amp; Cellular Proteomics and the Journal of Lipid Research. </w:t>
      </w:r>
    </w:p>
    <w:p w:rsidR="00000000" w:rsidRDefault="007F5C5E">
      <w:pPr>
        <w:pStyle w:val="NormalWeb"/>
      </w:pPr>
      <w:r>
        <w:t xml:space="preserve">These questions may be used to help assess student mastery of key foundational concepts in BMB developed by the American Society </w:t>
      </w:r>
      <w:r>
        <w:t>for Biochemistry and Molecular Biology (ASBMB) and tested in the new MCAT2015 developed by the American Association of Medical Colleges.  The particular foundational concepts and learning objectives relevant for this particular assessment are listed below.</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00000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000000" w:rsidRDefault="007F5C5E">
            <w:pPr>
              <w:pStyle w:val="NormalWeb"/>
              <w:jc w:val="center"/>
            </w:pPr>
            <w:r>
              <w:lastRenderedPageBreak/>
              <w:t xml:space="preserve">ASBMB Biochemistry and Molecular Biology Foundational Concepts  -   </w:t>
            </w:r>
            <w:hyperlink r:id="rId14" w:history="1">
              <w:r>
                <w:rPr>
                  <w:rStyle w:val="Hyperlink"/>
                </w:rPr>
                <w:t xml:space="preserve">Detailed Learning Objectives </w:t>
              </w:r>
            </w:hyperlink>
            <w:r>
              <w:t>(Excel)</w:t>
            </w:r>
          </w:p>
          <w:p w:rsidR="00000000" w:rsidRDefault="007F5C5E">
            <w:pPr>
              <w:pStyle w:val="NormalWeb"/>
            </w:pPr>
            <w:r>
              <w:rPr>
                <w:rStyle w:val="auto-style81"/>
              </w:rPr>
              <w:t>Foundational Concept 1</w:t>
            </w:r>
            <w:r>
              <w:t>:  Energy is required by and transformed in biological systems</w:t>
            </w:r>
          </w:p>
          <w:p w:rsidR="00000000" w:rsidRDefault="007F5C5E">
            <w:pPr>
              <w:numPr>
                <w:ilvl w:val="0"/>
                <w:numId w:val="1"/>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3. </w:t>
            </w:r>
            <w:r>
              <w:rPr>
                <w:rFonts w:ascii="Verdana" w:eastAsia="Times New Roman" w:hAnsi="Verdana"/>
                <w:color w:val="000000"/>
                <w:sz w:val="21"/>
                <w:szCs w:val="21"/>
              </w:rPr>
              <w:t xml:space="preserve"> Given a macromolecule, students should be able to explain the contribution of entropy, enthalpy and temperature of a macromolecule and water (associated and in bulk solvent) in a folded versus unfolded state </w:t>
            </w:r>
          </w:p>
          <w:p w:rsidR="00000000" w:rsidRDefault="007F5C5E">
            <w:pPr>
              <w:numPr>
                <w:ilvl w:val="0"/>
                <w:numId w:val="1"/>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4.  Given a biological example, students shoul</w:t>
            </w:r>
            <w:r>
              <w:rPr>
                <w:rFonts w:ascii="Verdana" w:eastAsia="Times New Roman" w:hAnsi="Verdana"/>
                <w:color w:val="000000"/>
                <w:sz w:val="21"/>
                <w:szCs w:val="21"/>
              </w:rPr>
              <w:t xml:space="preserve">d be able to explain how thermodynamically unfavorable processes can occur. </w:t>
            </w:r>
          </w:p>
          <w:p w:rsidR="00000000" w:rsidRDefault="007F5C5E">
            <w:pPr>
              <w:numPr>
                <w:ilvl w:val="0"/>
                <w:numId w:val="1"/>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6. (loosely)  Given entropy, enthalpy and temperature, students should be able to justify why evolutionary selection is constrained by the laws of thermodynamics </w:t>
            </w:r>
          </w:p>
          <w:p w:rsidR="00000000" w:rsidRDefault="007F5C5E">
            <w:pPr>
              <w:pStyle w:val="NormalWeb"/>
            </w:pPr>
            <w:r>
              <w:rPr>
                <w:rStyle w:val="auto-style81"/>
              </w:rPr>
              <w:t>Foundational Con</w:t>
            </w:r>
            <w:r>
              <w:rPr>
                <w:rStyle w:val="auto-style81"/>
              </w:rPr>
              <w:t>cept 2</w:t>
            </w:r>
            <w:r>
              <w:t>:  Macromolecular structure determines function and regulation.</w:t>
            </w:r>
          </w:p>
          <w:p w:rsidR="00000000" w:rsidRDefault="007F5C5E">
            <w:pPr>
              <w:numPr>
                <w:ilvl w:val="0"/>
                <w:numId w:val="2"/>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xml:space="preserve">2. Given a list of macromolecules, students should be able to devise an experiment on how they interact or interpret results of experiments on their interactions </w:t>
            </w:r>
          </w:p>
          <w:p w:rsidR="00000000" w:rsidRDefault="007F5C5E">
            <w:pPr>
              <w:numPr>
                <w:ilvl w:val="0"/>
                <w:numId w:val="2"/>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3.  Given structural ch</w:t>
            </w:r>
            <w:r>
              <w:rPr>
                <w:rFonts w:ascii="Verdana" w:eastAsia="Times New Roman" w:hAnsi="Verdana"/>
                <w:color w:val="000000"/>
                <w:sz w:val="21"/>
                <w:szCs w:val="21"/>
              </w:rPr>
              <w:t xml:space="preserve">anges of a macromolecule (or ligand), students should be able to predict the impact of structural substitution would have on macromolecule structure and function </w:t>
            </w:r>
          </w:p>
          <w:p w:rsidR="00000000" w:rsidRDefault="007F5C5E">
            <w:pPr>
              <w:numPr>
                <w:ilvl w:val="0"/>
                <w:numId w:val="2"/>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4. Given experimental data, students should be able to assess how enzymes facilitate biochemi</w:t>
            </w:r>
            <w:r>
              <w:rPr>
                <w:rFonts w:ascii="Verdana" w:eastAsia="Times New Roman" w:hAnsi="Verdana"/>
                <w:color w:val="000000"/>
                <w:sz w:val="21"/>
                <w:szCs w:val="21"/>
              </w:rPr>
              <w:t xml:space="preserve">cal reactions. </w:t>
            </w:r>
          </w:p>
          <w:p w:rsidR="00000000" w:rsidRDefault="007F5C5E">
            <w:pPr>
              <w:pStyle w:val="NormalWeb"/>
            </w:pPr>
            <w:r>
              <w:t> </w:t>
            </w:r>
            <w:r>
              <w:rPr>
                <w:rStyle w:val="auto-style81"/>
              </w:rPr>
              <w:t>Foundational Concept 4</w:t>
            </w:r>
            <w:r>
              <w:t xml:space="preserve">: . Discovery requires objective measurement, quantitative analysis, and clear communication.  </w:t>
            </w:r>
          </w:p>
          <w:p w:rsidR="00000000" w:rsidRDefault="007F5C5E">
            <w:pPr>
              <w:numPr>
                <w:ilvl w:val="0"/>
                <w:numId w:val="3"/>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 2. Given a fundamental understanding of BMB concepts, students should be able to formulate experiments and assess the qu</w:t>
            </w:r>
            <w:r>
              <w:rPr>
                <w:rFonts w:ascii="Verdana" w:eastAsia="Times New Roman" w:hAnsi="Verdana"/>
                <w:color w:val="000000"/>
                <w:sz w:val="21"/>
                <w:szCs w:val="21"/>
              </w:rPr>
              <w:t xml:space="preserve">ality of experiments addressing molecular structure, assays of biological function, and isolation / separation of biomolecules. </w:t>
            </w:r>
          </w:p>
          <w:p w:rsidR="00000000" w:rsidRDefault="007F5C5E">
            <w:pPr>
              <w:rPr>
                <w:rFonts w:ascii="Verdana" w:eastAsia="Times New Roman" w:hAnsi="Verdana"/>
                <w:color w:val="000000"/>
                <w:sz w:val="18"/>
                <w:szCs w:val="18"/>
              </w:rPr>
            </w:pPr>
            <w:r>
              <w:rPr>
                <w:rFonts w:ascii="Verdana" w:eastAsia="Times New Roman" w:hAnsi="Verdana"/>
                <w:color w:val="000000"/>
                <w:sz w:val="18"/>
                <w:szCs w:val="18"/>
              </w:rPr>
              <w:lastRenderedPageBreak/>
              <w:pict>
                <v:rect id="_x0000_i1026" style="width:.05pt;height:.75pt" o:hralign="center" o:hrstd="t" o:hrnoshade="t" o:hr="t" fillcolor="#ccc" stroked="f"/>
              </w:pict>
            </w:r>
          </w:p>
          <w:p w:rsidR="00000000" w:rsidRDefault="007F5C5E">
            <w:pPr>
              <w:pStyle w:val="NormalWeb"/>
              <w:jc w:val="center"/>
            </w:pPr>
            <w:r>
              <w:t xml:space="preserve">MCAT 2015:  </w:t>
            </w:r>
            <w:hyperlink r:id="rId15" w:history="1">
              <w:r>
                <w:rPr>
                  <w:rStyle w:val="Hyperlink"/>
                </w:rPr>
                <w:t>Foundational Concepts, Detailed Content and Topics</w:t>
              </w:r>
            </w:hyperlink>
            <w:r>
              <w:t xml:space="preserve"> (Excel)</w:t>
            </w:r>
          </w:p>
          <w:p w:rsidR="00000000" w:rsidRDefault="007F5C5E">
            <w:pPr>
              <w:pStyle w:val="style10"/>
            </w:pPr>
            <w:r>
              <w:rPr>
                <w:rStyle w:val="Emphasis"/>
              </w:rPr>
              <w:t>Biological and Biochemical Foundations of Living Systems</w:t>
            </w:r>
            <w:r>
              <w:t xml:space="preserve"> </w:t>
            </w:r>
          </w:p>
          <w:p w:rsidR="00000000" w:rsidRDefault="007F5C5E">
            <w:pPr>
              <w:pStyle w:val="style10"/>
            </w:pPr>
            <w:r>
              <w:rPr>
                <w:rStyle w:val="auto-style81"/>
              </w:rPr>
              <w:t>Foundational Concept 1</w:t>
            </w:r>
            <w:r>
              <w:t xml:space="preserve"> : Biomolecules have unique properties that determin</w:t>
            </w:r>
            <w:r>
              <w:t xml:space="preserve">e how they contribute to the structure and function of cells, and how they participate in the processes necessary to maintain life </w:t>
            </w:r>
          </w:p>
          <w:p w:rsidR="00000000" w:rsidRDefault="007F5C5E">
            <w:pPr>
              <w:pStyle w:val="style10"/>
              <w:numPr>
                <w:ilvl w:val="0"/>
                <w:numId w:val="4"/>
              </w:numPr>
            </w:pPr>
            <w:r>
              <w:t xml:space="preserve">1A. Structure and function of proteins and their constituent amino acids </w:t>
            </w:r>
          </w:p>
          <w:p w:rsidR="00000000" w:rsidRDefault="007F5C5E">
            <w:pPr>
              <w:pStyle w:val="style10"/>
              <w:numPr>
                <w:ilvl w:val="0"/>
                <w:numId w:val="4"/>
              </w:numPr>
            </w:pPr>
            <w:r>
              <w:t>1D.  Principles of bioenergetics and fuel molecule</w:t>
            </w:r>
            <w:r>
              <w:t xml:space="preserve"> metabolism </w:t>
            </w:r>
          </w:p>
          <w:p w:rsidR="00000000" w:rsidRDefault="007F5C5E">
            <w:pPr>
              <w:pStyle w:val="style10"/>
            </w:pPr>
            <w:r>
              <w:rPr>
                <w:rStyle w:val="Emphasis"/>
              </w:rPr>
              <w:t xml:space="preserve">Chemical and Physical Foundations of Biological Systems </w:t>
            </w:r>
          </w:p>
          <w:p w:rsidR="00000000" w:rsidRDefault="007F5C5E">
            <w:pPr>
              <w:pStyle w:val="style10"/>
            </w:pPr>
            <w:r>
              <w:rPr>
                <w:rStyle w:val="auto-style81"/>
              </w:rPr>
              <w:t>Foundational Concept 5</w:t>
            </w:r>
            <w:r>
              <w:t xml:space="preserve">: The principles that govern chemical interactions and reactions form the basis for a broader understanding of the molecular dynamics of living systems. </w:t>
            </w:r>
          </w:p>
          <w:p w:rsidR="00000000" w:rsidRDefault="007F5C5E">
            <w:pPr>
              <w:pStyle w:val="style10"/>
              <w:numPr>
                <w:ilvl w:val="0"/>
                <w:numId w:val="5"/>
              </w:numPr>
            </w:pPr>
            <w:r>
              <w:t>5B. Nature</w:t>
            </w:r>
            <w:r>
              <w:t xml:space="preserve"> of molecules and intermolecular interactions </w:t>
            </w:r>
          </w:p>
          <w:p w:rsidR="00000000" w:rsidRDefault="007F5C5E">
            <w:pPr>
              <w:pStyle w:val="style10"/>
              <w:numPr>
                <w:ilvl w:val="0"/>
                <w:numId w:val="5"/>
              </w:numPr>
            </w:pPr>
            <w:r>
              <w:t xml:space="preserve">5D. Structure, function, and reactivity of biologically - relevant molecules </w:t>
            </w:r>
          </w:p>
          <w:p w:rsidR="00000000" w:rsidRDefault="007F5C5E">
            <w:pPr>
              <w:pStyle w:val="style10"/>
              <w:numPr>
                <w:ilvl w:val="0"/>
                <w:numId w:val="5"/>
              </w:numPr>
            </w:pPr>
            <w:r>
              <w:t xml:space="preserve">5E. Principles of chemical thermodynamics and kinetics </w:t>
            </w:r>
          </w:p>
          <w:p w:rsidR="00000000" w:rsidRDefault="007F5C5E">
            <w:pPr>
              <w:pStyle w:val="auto-style9"/>
            </w:pPr>
            <w:r>
              <w:t>Scientific Inquiry and Reasoning Skills</w:t>
            </w:r>
          </w:p>
          <w:p w:rsidR="00000000" w:rsidRDefault="007F5C5E">
            <w:pPr>
              <w:pStyle w:val="style10"/>
              <w:numPr>
                <w:ilvl w:val="0"/>
                <w:numId w:val="6"/>
              </w:numPr>
            </w:pPr>
            <w:r>
              <w:lastRenderedPageBreak/>
              <w:t>1.  Knowledge of Scientific Concept</w:t>
            </w:r>
            <w:r>
              <w:t xml:space="preserve">s and Principles;  </w:t>
            </w:r>
          </w:p>
          <w:p w:rsidR="00000000" w:rsidRDefault="007F5C5E">
            <w:pPr>
              <w:pStyle w:val="style10"/>
              <w:numPr>
                <w:ilvl w:val="0"/>
                <w:numId w:val="6"/>
              </w:numPr>
            </w:pPr>
            <w:r>
              <w:t xml:space="preserve">2.  Scientific Reasoning and Problem; </w:t>
            </w:r>
          </w:p>
          <w:p w:rsidR="00000000" w:rsidRDefault="007F5C5E">
            <w:pPr>
              <w:pStyle w:val="style10"/>
              <w:numPr>
                <w:ilvl w:val="0"/>
                <w:numId w:val="6"/>
              </w:numPr>
            </w:pPr>
            <w:r>
              <w:t xml:space="preserve">3.  Reasoning about the Design and Execution of Research; </w:t>
            </w:r>
          </w:p>
          <w:p w:rsidR="00000000" w:rsidRDefault="007F5C5E">
            <w:pPr>
              <w:pStyle w:val="style10"/>
              <w:numPr>
                <w:ilvl w:val="0"/>
                <w:numId w:val="6"/>
              </w:numPr>
            </w:pPr>
            <w:r>
              <w:t xml:space="preserve">4.  Data-based and Statistical Reasoning </w:t>
            </w:r>
          </w:p>
        </w:tc>
      </w:tr>
    </w:tbl>
    <w:p w:rsidR="007F5C5E" w:rsidRDefault="007F5C5E">
      <w:pPr>
        <w:pStyle w:val="NormalWeb"/>
        <w:rPr>
          <w:rStyle w:val="Strong"/>
        </w:rPr>
      </w:pPr>
    </w:p>
    <w:p w:rsidR="007F5C5E" w:rsidRDefault="007F5C5E">
      <w:pPr>
        <w:rPr>
          <w:rStyle w:val="Strong"/>
          <w:rFonts w:ascii="Verdana" w:hAnsi="Verdana"/>
          <w:color w:val="000000"/>
          <w:sz w:val="21"/>
          <w:szCs w:val="21"/>
        </w:rPr>
      </w:pPr>
      <w:r>
        <w:rPr>
          <w:rStyle w:val="Strong"/>
        </w:rPr>
        <w:br w:type="page"/>
      </w:r>
    </w:p>
    <w:p w:rsidR="00000000" w:rsidRDefault="007F5C5E">
      <w:pPr>
        <w:pStyle w:val="NormalWeb"/>
      </w:pPr>
      <w:r>
        <w:rPr>
          <w:rStyle w:val="Strong"/>
        </w:rPr>
        <w:t>Background</w:t>
      </w:r>
    </w:p>
    <w:p w:rsidR="00000000" w:rsidRDefault="007F5C5E">
      <w:pPr>
        <w:pStyle w:val="NormalWeb"/>
      </w:pPr>
      <w:r>
        <w:t xml:space="preserve">Almost every biological event, with some notable exceptions such as visual </w:t>
      </w:r>
      <w:r>
        <w:t xml:space="preserve">signal transduction, is initiated by a binding interactions between two molecules.  These interactions are often accompanied by conformational changes before binding (conformational selection) or after binding (induced fit),or both. Binding can be studied </w:t>
      </w:r>
      <w:r>
        <w:t>using X-ray crystallography or NMR to determine the 3D structure of the individual molecules and the complex, from which conformational changes associated with binding can be inferred.  In addition, binding should also be quantitatively studied to determin</w:t>
      </w:r>
      <w:r>
        <w:t>e dissociation constants, rate constants, and thermodynamics parameters that characterize the interactions.  For the questions below, investigators determined the changes in standard Gibbs Free energy change (</w:t>
      </w:r>
      <w:r>
        <w:rPr>
          <w:rStyle w:val="auto-style111"/>
        </w:rPr>
        <w:t></w:t>
      </w:r>
      <w:r>
        <w:t>G</w:t>
      </w:r>
      <w:r>
        <w:rPr>
          <w:vertAlign w:val="superscript"/>
        </w:rPr>
        <w:t>0</w:t>
      </w:r>
      <w:r>
        <w:t>), the standard enthalpy change (</w:t>
      </w:r>
      <w:r>
        <w:rPr>
          <w:rStyle w:val="auto-style111"/>
        </w:rPr>
        <w:t></w:t>
      </w:r>
      <w:r>
        <w:t>H</w:t>
      </w:r>
      <w:r>
        <w:rPr>
          <w:vertAlign w:val="superscript"/>
        </w:rPr>
        <w:t>0</w:t>
      </w:r>
      <w:r>
        <w:t>), the s</w:t>
      </w:r>
      <w:r>
        <w:t>tandard entropy change (</w:t>
      </w:r>
      <w:r>
        <w:rPr>
          <w:rStyle w:val="auto-style111"/>
        </w:rPr>
        <w:t></w:t>
      </w:r>
      <w:r>
        <w:t>S</w:t>
      </w:r>
      <w:r>
        <w:rPr>
          <w:vertAlign w:val="superscript"/>
        </w:rPr>
        <w:t>0</w:t>
      </w:r>
      <w:r>
        <w:t>), and the change in heat capacity (</w:t>
      </w:r>
      <w:r>
        <w:rPr>
          <w:rStyle w:val="auto-style111"/>
        </w:rPr>
        <w:t></w:t>
      </w:r>
      <w:r>
        <w:t>C</w:t>
      </w:r>
      <w:r>
        <w:rPr>
          <w:vertAlign w:val="subscript"/>
        </w:rPr>
        <w:t>p</w:t>
      </w:r>
      <w:r>
        <w:t>) for the interaction of GDP and GTP with a protein, selenocysteine-specific Translation Factor SelB.  This protein is a translation factor (like elongation factor Tu) which brings selenocys</w:t>
      </w:r>
      <w:r>
        <w:t xml:space="preserve">teyl-tRNA (Sec-tRNASec) to the ribosome.  Like EF-Tu,when bound to the A site in the ribosome,  EF-Tu or SelB cleave bound GTP to GDP, leading to its dissociation from the ribosome.  Presumably this </w:t>
      </w:r>
      <w:r>
        <w:lastRenderedPageBreak/>
        <w:t>would occur through a conformational change in the protei</w:t>
      </w:r>
      <w:r>
        <w:t>n on GTP cleavage.  The study of GTP and GDP-bound conformations of proteins is very important as many signaling events in a cell occur through small G proteins which are active when GTP is bound and inactive when GDP is bound.</w:t>
      </w:r>
    </w:p>
    <w:p w:rsidR="00000000" w:rsidRDefault="007F5C5E">
      <w:pPr>
        <w:pStyle w:val="NormalWeb"/>
      </w:pPr>
      <w:r>
        <w:t>Background Reading:</w:t>
      </w:r>
    </w:p>
    <w:p w:rsidR="00000000" w:rsidRDefault="007F5C5E">
      <w:pPr>
        <w:numPr>
          <w:ilvl w:val="0"/>
          <w:numId w:val="7"/>
        </w:numPr>
        <w:spacing w:before="100" w:beforeAutospacing="1" w:after="100" w:afterAutospacing="1" w:line="450" w:lineRule="atLeast"/>
        <w:rPr>
          <w:rFonts w:ascii="Verdana" w:eastAsia="Times New Roman" w:hAnsi="Verdana"/>
          <w:color w:val="000000"/>
          <w:sz w:val="21"/>
          <w:szCs w:val="21"/>
        </w:rPr>
      </w:pPr>
      <w:hyperlink r:id="rId16" w:history="1">
        <w:r>
          <w:rPr>
            <w:rStyle w:val="Hyperlink"/>
            <w:rFonts w:ascii="Verdana" w:eastAsia="Times New Roman" w:hAnsi="Verdana"/>
          </w:rPr>
          <w:t>Reversible Binding I: Mathematical Models and Experimental Techniques</w:t>
        </w:r>
      </w:hyperlink>
      <w:r>
        <w:rPr>
          <w:rFonts w:ascii="Verdana" w:eastAsia="Times New Roman" w:hAnsi="Verdana"/>
          <w:color w:val="000000"/>
          <w:sz w:val="21"/>
          <w:szCs w:val="21"/>
        </w:rPr>
        <w:t xml:space="preserve"> in Biochemistry Online by Henry Jakubowski.  This chapter contains a review of isothermal titration c</w:t>
      </w:r>
      <w:r>
        <w:rPr>
          <w:rFonts w:ascii="Verdana" w:eastAsia="Times New Roman" w:hAnsi="Verdana"/>
          <w:color w:val="000000"/>
          <w:sz w:val="21"/>
          <w:szCs w:val="21"/>
        </w:rPr>
        <w:t>alorimetry, the main experimental technique used by the authors.</w:t>
      </w:r>
    </w:p>
    <w:p w:rsidR="00000000" w:rsidRDefault="007F5C5E">
      <w:pPr>
        <w:numPr>
          <w:ilvl w:val="0"/>
          <w:numId w:val="7"/>
        </w:numPr>
        <w:spacing w:before="100" w:beforeAutospacing="1" w:after="100" w:afterAutospacing="1" w:line="450" w:lineRule="atLeast"/>
        <w:rPr>
          <w:rFonts w:ascii="Verdana" w:eastAsia="Times New Roman" w:hAnsi="Verdana"/>
          <w:color w:val="000000"/>
          <w:sz w:val="21"/>
          <w:szCs w:val="21"/>
        </w:rPr>
      </w:pPr>
      <w:hyperlink r:id="rId17" w:history="1">
        <w:r>
          <w:rPr>
            <w:rStyle w:val="Hyperlink"/>
            <w:rFonts w:ascii="Verdana" w:eastAsia="Times New Roman" w:hAnsi="Verdana"/>
          </w:rPr>
          <w:t>T</w:t>
        </w:r>
        <w:r>
          <w:rPr>
            <w:rStyle w:val="auto-style101"/>
            <w:rFonts w:ascii="Verdana" w:eastAsia="Times New Roman" w:hAnsi="Verdana"/>
            <w:sz w:val="21"/>
            <w:szCs w:val="21"/>
          </w:rPr>
          <w:t xml:space="preserve">hermodynamics: </w:t>
        </w:r>
        <w:r>
          <w:rPr>
            <w:rStyle w:val="Hyperlink"/>
            <w:rFonts w:ascii="Verdana" w:eastAsia="Times New Roman" w:hAnsi="Verdana"/>
          </w:rPr>
          <w:t xml:space="preserve">A Review </w:t>
        </w:r>
      </w:hyperlink>
      <w:r>
        <w:rPr>
          <w:rFonts w:ascii="Verdana" w:eastAsia="Times New Roman" w:hAnsi="Verdana"/>
          <w:color w:val="000000"/>
          <w:sz w:val="21"/>
          <w:szCs w:val="21"/>
        </w:rPr>
        <w:t>in Biochemistry Online by Henry Jakubowski</w:t>
      </w:r>
    </w:p>
    <w:p w:rsidR="00000000" w:rsidRDefault="007F5C5E">
      <w:pPr>
        <w:pStyle w:val="NormalWeb"/>
      </w:pPr>
      <w:r>
        <w:t>Background Videos:</w:t>
      </w:r>
    </w:p>
    <w:p w:rsidR="00000000" w:rsidRDefault="007F5C5E">
      <w:pPr>
        <w:numPr>
          <w:ilvl w:val="0"/>
          <w:numId w:val="8"/>
        </w:numPr>
        <w:spacing w:before="100" w:beforeAutospacing="1" w:after="100" w:afterAutospacing="1" w:line="450" w:lineRule="atLeast"/>
        <w:rPr>
          <w:rFonts w:ascii="Verdana" w:eastAsia="Times New Roman" w:hAnsi="Verdana"/>
          <w:color w:val="000000"/>
          <w:sz w:val="21"/>
          <w:szCs w:val="21"/>
        </w:rPr>
      </w:pPr>
      <w:r>
        <w:rPr>
          <w:rFonts w:ascii="Verdana" w:eastAsia="Times New Roman" w:hAnsi="Verdana"/>
          <w:color w:val="000000"/>
          <w:sz w:val="21"/>
          <w:szCs w:val="21"/>
        </w:rPr>
        <w:t>tba</w:t>
      </w:r>
    </w:p>
    <w:p w:rsidR="00000000" w:rsidRDefault="007F5C5E">
      <w:pPr>
        <w:rPr>
          <w:rFonts w:eastAsia="Times New Roman"/>
        </w:rPr>
      </w:pPr>
      <w:r>
        <w:rPr>
          <w:rFonts w:eastAsia="Times New Roman"/>
        </w:rPr>
        <w:pict>
          <v:rect id="_x0000_i1027" style="width:.05pt;height:.75pt" o:hralign="center" o:hrstd="t" o:hrnoshade="t" o:hr="t" fillcolor="#ccc" stroked="f"/>
        </w:pict>
      </w:r>
    </w:p>
    <w:p w:rsidR="00000000" w:rsidRDefault="007F5C5E">
      <w:pPr>
        <w:pStyle w:val="NormalWeb"/>
      </w:pPr>
      <w:r>
        <w:rPr>
          <w:rStyle w:val="Strong"/>
        </w:rPr>
        <w:t>Background from article:</w:t>
      </w:r>
    </w:p>
    <w:p w:rsidR="00000000" w:rsidRDefault="007F5C5E">
      <w:pPr>
        <w:pStyle w:val="NormalWeb"/>
      </w:pPr>
      <w:r>
        <w:t xml:space="preserve">Selenocysteine (Sec) is the 21st genetically encoded amino acid identified in selected </w:t>
      </w:r>
      <w:r>
        <w:t>proteins in all three kingdoms of life.  In bacteria, Sec is encoded by the UGA stop codon in combination with a specific hairpin structure on the mRNA, the Sec insertion sequence. Sec-tRNASec is delivered to the ribosome by a specialized translation facto</w:t>
      </w:r>
      <w:r>
        <w:t>r, SelB, a 69-</w:t>
      </w:r>
      <w:r>
        <w:lastRenderedPageBreak/>
        <w:t>kDa GTP-binding protein that consists of four domains and recognizes both Sec-tRNASec and the Sec insertion sequence. SelB shares significant sequence similarity with other translation factors that deliver aminoacyl-tRNA to the ribosome, such</w:t>
      </w:r>
      <w:r>
        <w:t xml:space="preserve"> as EF-Tu and eIF2/eIF5B. Domains I, II, and III of SelB have the same secondary elements as the respective domains of EF-Tu and are highly conserved among all organisms. Domain I binds guanine nucleotides, and domains I, II, and III together provide most </w:t>
      </w:r>
      <w:r>
        <w:t xml:space="preserve">of the contact surface for Sec-tRNASec binding. Domain IV of SelB, which consists of four winged-helix motifs and recognizes the Sec insertion sequence element, has no analogs in other translational GTPases and differs in bacteria, archaea, and eukarya. </w:t>
      </w:r>
    </w:p>
    <w:p w:rsidR="00000000" w:rsidRDefault="007F5C5E">
      <w:pPr>
        <w:pStyle w:val="NormalWeb"/>
      </w:pPr>
      <w:r>
        <w:t>D</w:t>
      </w:r>
      <w:r>
        <w:t xml:space="preserve">espite the structural similarities of the nucleotide-binding domains of SelB and EF-Tu, their nucleotide-binding properties are markedly different. SelB from </w:t>
      </w:r>
      <w:r>
        <w:rPr>
          <w:rStyle w:val="Emphasis"/>
        </w:rPr>
        <w:t>Escherichia coli</w:t>
      </w:r>
      <w:r>
        <w:t xml:space="preserve"> binds GTP with higher affinity than GDP.   In contrast, EF-Tu binds GTP much more</w:t>
      </w:r>
      <w:r>
        <w:t xml:space="preserve"> weakly than GDP (values of </w:t>
      </w:r>
      <w:r>
        <w:rPr>
          <w:rStyle w:val="Emphasis"/>
        </w:rPr>
        <w:t>K</w:t>
      </w:r>
      <w:r>
        <w:rPr>
          <w:rStyle w:val="Emphasis"/>
          <w:vertAlign w:val="subscript"/>
        </w:rPr>
        <w:t>d</w:t>
      </w:r>
      <w:r>
        <w:t xml:space="preserve"> for GTP and GDP are 60 and 1 n</w:t>
      </w:r>
      <w:r>
        <w:rPr>
          <w:rStyle w:val="sc"/>
        </w:rPr>
        <w:t>m</w:t>
      </w:r>
      <w:r>
        <w:t>, respectively). Furthermore, the arrangement of domains I–III in EF-Tu changes dramatically upon GTP hydrolysis, which is used to control aminoacyl-tRNA binding and delivery to the ribosome. In</w:t>
      </w:r>
      <w:r>
        <w:t xml:space="preserve"> contrast, crystal structures suggested that domains I–III in SelB from the archaeon </w:t>
      </w:r>
      <w:r>
        <w:rPr>
          <w:rStyle w:val="Emphasis"/>
        </w:rPr>
        <w:t>Methanococcus maripaludis</w:t>
      </w:r>
      <w:r>
        <w:t xml:space="preserve"> adopt similar, GTP-like conformations in the presence of the GTP analog GDPNP or GDP or in the absence of guanine nucleotides. This finding is di</w:t>
      </w:r>
      <w:r>
        <w:t>fficult to reconcile with the 6 orders of magnitude differences in the binding affinity of Sec-tRNA</w:t>
      </w:r>
      <w:r>
        <w:rPr>
          <w:vertAlign w:val="superscript"/>
        </w:rPr>
        <w:t>Sec</w:t>
      </w:r>
      <w:r>
        <w:t xml:space="preserve"> to SelB·GTP and SelB·GDP, which prompted us to probe the conformational changes of SelB upon binding of different guanine nucleotides in solution.</w:t>
      </w:r>
    </w:p>
    <w:p w:rsidR="00000000" w:rsidRDefault="007F5C5E">
      <w:pPr>
        <w:pStyle w:val="NormalWeb"/>
      </w:pPr>
      <w:r>
        <w:t>In pri</w:t>
      </w:r>
      <w:r>
        <w:t xml:space="preserve">nciple, a number of techniques can be used to probe conformational rearrangements of proteins upon ligand binding. Among them, isothermal titration calorimetry (ITC) is an underexploited method to estimate structural </w:t>
      </w:r>
      <w:r>
        <w:lastRenderedPageBreak/>
        <w:t xml:space="preserve">changes by measuring the heat released </w:t>
      </w:r>
      <w:r>
        <w:t>or absorbed during complex formation. The figure below illustrates the components of an ITC system.</w:t>
      </w:r>
    </w:p>
    <w:p w:rsidR="00000000" w:rsidRDefault="007F5C5E">
      <w:pPr>
        <w:pStyle w:val="style5"/>
      </w:pPr>
      <w:r>
        <w:rPr>
          <w:noProof/>
        </w:rPr>
        <w:drawing>
          <wp:inline distT="0" distB="0" distL="0" distR="0">
            <wp:extent cx="2971800" cy="3724275"/>
            <wp:effectExtent l="0" t="0" r="0" b="9525"/>
            <wp:docPr id="4" name="Picture 4" descr="http://employees.csbsju.edu/hjakubowski/classes/ch331/bind/ITCC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mployees.csbsju.edu/hjakubowski/classes/ch331/bind/ITCCell.gif"/>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971800" cy="3724275"/>
                    </a:xfrm>
                    <a:prstGeom prst="rect">
                      <a:avLst/>
                    </a:prstGeom>
                    <a:noFill/>
                    <a:ln>
                      <a:noFill/>
                    </a:ln>
                  </pic:spPr>
                </pic:pic>
              </a:graphicData>
            </a:graphic>
          </wp:inline>
        </w:drawing>
      </w:r>
    </w:p>
    <w:p w:rsidR="00000000" w:rsidRDefault="007F5C5E">
      <w:pPr>
        <w:pStyle w:val="NormalWeb"/>
      </w:pPr>
      <w:r>
        <w:t xml:space="preserve">This enthalpy change determined at different temperatures allows calculating the heat capacity change, which, in turn, provides information about conformational changes of macromolecules upon </w:t>
      </w:r>
      <w:r>
        <w:t xml:space="preserve">binding their ligands. Thus, ITC provides a sensitive method to draw the link between the thermodynamic data and structural rearrangement of the molecules. </w:t>
      </w:r>
      <w:r>
        <w:lastRenderedPageBreak/>
        <w:t>The investigators utilized ITC to estimate the magnitude of conformational changes in SelB upon bind</w:t>
      </w:r>
      <w:r>
        <w:t>ing of different guanine nucleotides</w:t>
      </w:r>
    </w:p>
    <w:p w:rsidR="00000000" w:rsidRDefault="007F5C5E">
      <w:pPr>
        <w:pStyle w:val="NormalWeb"/>
      </w:pPr>
      <w:r>
        <w:rPr>
          <w:rStyle w:val="Strong"/>
        </w:rPr>
        <w:t>Background/Review Questions:</w:t>
      </w:r>
    </w:p>
    <w:p w:rsidR="00000000" w:rsidRDefault="007F5C5E">
      <w:pPr>
        <w:pStyle w:val="NormalWeb"/>
      </w:pPr>
      <w:r>
        <w:t>a.  Looking at the calorimetry cells above, what components would most likely be placed in the reference cell, sample cells, and syringe?</w:t>
      </w:r>
    </w:p>
    <w:p w:rsidR="00000000" w:rsidRDefault="007F5C5E">
      <w:pPr>
        <w:pStyle w:val="NormalWeb"/>
      </w:pPr>
      <w:r>
        <w:t>b.  ITC is very sensitive and can detect minute enth</w:t>
      </w:r>
      <w:r>
        <w:t xml:space="preserve">alpy changes when a titrant is injected into the reference cell.  List possible physical and chemical processes which might lead to enthalpy changes on on injection of a titrant into the control cell.  </w:t>
      </w:r>
    </w:p>
    <w:p w:rsidR="00000000" w:rsidRDefault="007F5C5E">
      <w:pPr>
        <w:pStyle w:val="NormalWeb"/>
      </w:pPr>
      <w:r>
        <w:t>c.   What is the most logical control experiment that</w:t>
      </w:r>
      <w:r>
        <w:t xml:space="preserve"> you would perform?  How would you correct the experimental derived enthalpy changes for the those see in the control case?</w:t>
      </w:r>
    </w:p>
    <w:p w:rsidR="00000000" w:rsidRDefault="007F5C5E">
      <w:pPr>
        <w:pStyle w:val="NormalWeb"/>
      </w:pPr>
      <w:r>
        <w:t>d. Consider the following simple equilibrium for the interaction of a ligand L with a macromolecule M characterized by the dissociat</w:t>
      </w:r>
      <w:r>
        <w:t xml:space="preserve">ion constant Kd as shown below. </w:t>
      </w:r>
    </w:p>
    <w:p w:rsidR="00000000" w:rsidRDefault="007F5C5E">
      <w:pPr>
        <w:pStyle w:val="style5"/>
      </w:pPr>
      <w:r>
        <w:rPr>
          <w:noProof/>
        </w:rPr>
        <w:lastRenderedPageBreak/>
        <w:drawing>
          <wp:inline distT="0" distB="0" distL="0" distR="0">
            <wp:extent cx="1609725" cy="1762125"/>
            <wp:effectExtent l="0" t="0" r="9525" b="9525"/>
            <wp:docPr id="5" name="Picture 5" descr="M_L_ML_K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_L_ML_Kd"/>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1609725" cy="1762125"/>
                    </a:xfrm>
                    <a:prstGeom prst="rect">
                      <a:avLst/>
                    </a:prstGeom>
                    <a:noFill/>
                    <a:ln>
                      <a:noFill/>
                    </a:ln>
                  </pic:spPr>
                </pic:pic>
              </a:graphicData>
            </a:graphic>
          </wp:inline>
        </w:drawing>
      </w:r>
    </w:p>
    <w:p w:rsidR="00000000" w:rsidRDefault="007F5C5E">
      <w:pPr>
        <w:pStyle w:val="style10"/>
      </w:pPr>
      <w:r>
        <w:t>where M is the concentration of the free macromolecule, L is the concentration of free ligand, and ML is the concentra</w:t>
      </w:r>
      <w:r>
        <w:t>tion of complex. For dissociable binding interactions, Kd is as important as pka for a ionizable proton from an acid.  An equation for ML as a function of M</w:t>
      </w:r>
      <w:r>
        <w:rPr>
          <w:vertAlign w:val="subscript"/>
        </w:rPr>
        <w:t>o</w:t>
      </w:r>
      <w:r>
        <w:t>, L and K</w:t>
      </w:r>
      <w:r>
        <w:rPr>
          <w:vertAlign w:val="subscript"/>
        </w:rPr>
        <w:t>d</w:t>
      </w:r>
      <w:r>
        <w:t xml:space="preserve"> is shown above.  Kd values are typically determined from binding experiment when M</w:t>
      </w:r>
      <w:r>
        <w:rPr>
          <w:vertAlign w:val="subscript"/>
        </w:rPr>
        <w:t>o</w:t>
      </w:r>
      <w:r>
        <w:t>, the</w:t>
      </w:r>
      <w:r>
        <w:t xml:space="preserve"> total amount of M is much less than free L.  From the equation of ML above, draw a graph of ML vs L on the axes below.</w:t>
      </w:r>
    </w:p>
    <w:p w:rsidR="00000000" w:rsidRDefault="007F5C5E">
      <w:pPr>
        <w:pStyle w:val="style5"/>
      </w:pPr>
      <w:r>
        <w:rPr>
          <w:noProof/>
        </w:rPr>
        <w:lastRenderedPageBreak/>
        <w:drawing>
          <wp:inline distT="0" distB="0" distL="0" distR="0">
            <wp:extent cx="2705100" cy="2200275"/>
            <wp:effectExtent l="0" t="0" r="0" b="9525"/>
            <wp:docPr id="6" name="Picture 6" descr="graph ML vs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ph ML vs L"/>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705100" cy="2200275"/>
                    </a:xfrm>
                    <a:prstGeom prst="rect">
                      <a:avLst/>
                    </a:prstGeom>
                    <a:noFill/>
                    <a:ln>
                      <a:noFill/>
                    </a:ln>
                  </pic:spPr>
                </pic:pic>
              </a:graphicData>
            </a:graphic>
          </wp:inline>
        </w:drawing>
      </w:r>
    </w:p>
    <w:p w:rsidR="00000000" w:rsidRDefault="007F5C5E">
      <w:pPr>
        <w:pStyle w:val="style10"/>
      </w:pPr>
      <w:r>
        <w:t>e.  Simplify the equation for ML as a function of L for each of the following conditions:</w:t>
      </w:r>
    </w:p>
    <w:p w:rsidR="00000000" w:rsidRDefault="007F5C5E">
      <w:pPr>
        <w:pStyle w:val="auto-style15"/>
      </w:pPr>
      <w:r>
        <w:t>-  L &lt;&lt; Kd                                          L = Kd    </w:t>
      </w:r>
      <w:r>
        <w:t>                             L &gt;&gt; Kd</w:t>
      </w:r>
    </w:p>
    <w:p w:rsidR="00000000" w:rsidRDefault="007F5C5E">
      <w:pPr>
        <w:pStyle w:val="style10"/>
      </w:pPr>
      <w:r>
        <w:t xml:space="preserve">The equilibrium constant, Keq = 1/Kd, is related to the standard free energy change, </w:t>
      </w:r>
      <w:r>
        <w:rPr>
          <w:rStyle w:val="auto-style111"/>
        </w:rPr>
        <w:t></w:t>
      </w:r>
      <w:r>
        <w:t>G</w:t>
      </w:r>
      <w:r>
        <w:rPr>
          <w:vertAlign w:val="superscript"/>
        </w:rPr>
        <w:t xml:space="preserve">0 </w:t>
      </w:r>
      <w:r>
        <w:t xml:space="preserve">using the following equation:  </w:t>
      </w:r>
    </w:p>
    <w:p w:rsidR="00000000" w:rsidRDefault="007F5C5E">
      <w:pPr>
        <w:pStyle w:val="style5"/>
      </w:pPr>
      <w:r>
        <w:rPr>
          <w:noProof/>
        </w:rPr>
        <w:drawing>
          <wp:inline distT="0" distB="0" distL="0" distR="0">
            <wp:extent cx="2257425" cy="609600"/>
            <wp:effectExtent l="0" t="0" r="9525" b="0"/>
            <wp:docPr id="7" name="Picture 7" descr="DelG eq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lG eq 1"/>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257425" cy="609600"/>
                    </a:xfrm>
                    <a:prstGeom prst="rect">
                      <a:avLst/>
                    </a:prstGeom>
                    <a:noFill/>
                    <a:ln>
                      <a:noFill/>
                    </a:ln>
                  </pic:spPr>
                </pic:pic>
              </a:graphicData>
            </a:graphic>
          </wp:inline>
        </w:drawing>
      </w:r>
    </w:p>
    <w:p w:rsidR="00000000" w:rsidRDefault="007F5C5E">
      <w:pPr>
        <w:pStyle w:val="style10"/>
      </w:pPr>
      <w:r>
        <w:t xml:space="preserve">f.  What is the </w:t>
      </w:r>
      <w:r>
        <w:rPr>
          <w:rStyle w:val="auto-style111"/>
        </w:rPr>
        <w:t></w:t>
      </w:r>
      <w:r>
        <w:t xml:space="preserve">G at equilibrium?  Using this information, derive an equation that gives the relations between </w:t>
      </w:r>
      <w:r>
        <w:rPr>
          <w:rStyle w:val="auto-style111"/>
        </w:rPr>
        <w:t></w:t>
      </w:r>
      <w:r>
        <w:t>G</w:t>
      </w:r>
      <w:r>
        <w:rPr>
          <w:vertAlign w:val="superscript"/>
        </w:rPr>
        <w:t xml:space="preserve">0 </w:t>
      </w:r>
      <w:r>
        <w:t>and Keq as well as Kd.</w:t>
      </w:r>
    </w:p>
    <w:p w:rsidR="00000000" w:rsidRDefault="007F5C5E">
      <w:pPr>
        <w:pStyle w:val="style5"/>
      </w:pPr>
      <w:r>
        <w:lastRenderedPageBreak/>
        <w:t> </w:t>
      </w:r>
    </w:p>
    <w:p w:rsidR="00000000" w:rsidRDefault="007F5C5E">
      <w:pPr>
        <w:pStyle w:val="NormalWeb"/>
      </w:pPr>
      <w:r>
        <w:rPr>
          <w:rStyle w:val="Strong"/>
        </w:rPr>
        <w:t>Questions based on article:</w:t>
      </w:r>
    </w:p>
    <w:p w:rsidR="00000000" w:rsidRDefault="007F5C5E">
      <w:pPr>
        <w:pStyle w:val="NormalWeb"/>
      </w:pPr>
      <w:r>
        <w:t xml:space="preserve">1.  </w:t>
      </w:r>
      <w:r>
        <w:t>Answer the following questions based on the ITC thermograms for binding of GTP to SelB (A) and GDP to SelB (B) below.</w:t>
      </w:r>
    </w:p>
    <w:p w:rsidR="00000000" w:rsidRDefault="007F5C5E">
      <w:pPr>
        <w:pStyle w:val="style5"/>
      </w:pPr>
      <w:r>
        <w:rPr>
          <w:noProof/>
        </w:rPr>
        <w:drawing>
          <wp:inline distT="0" distB="0" distL="0" distR="0">
            <wp:extent cx="4495800" cy="3067050"/>
            <wp:effectExtent l="0" t="0" r="0" b="0"/>
            <wp:docPr id="8" name="Picture 8" descr="ITC GTP vs G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TC GTP vs GDP"/>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4495800" cy="3067050"/>
                    </a:xfrm>
                    <a:prstGeom prst="rect">
                      <a:avLst/>
                    </a:prstGeom>
                    <a:noFill/>
                    <a:ln>
                      <a:noFill/>
                    </a:ln>
                  </pic:spPr>
                </pic:pic>
              </a:graphicData>
            </a:graphic>
          </wp:inline>
        </w:drawing>
      </w:r>
    </w:p>
    <w:p w:rsidR="00000000" w:rsidRDefault="007F5C5E">
      <w:pPr>
        <w:pStyle w:val="NormalWeb"/>
      </w:pPr>
      <w:r>
        <w:lastRenderedPageBreak/>
        <w:t>a.  The titration cu</w:t>
      </w:r>
      <w:r>
        <w:t>rves above appear sigmoidal in contrast to the hyperbolic saturation binding curve you drew for a simple M + L binding equilibrium.  Sigmoidal ML vs L binding plots are often associated with cooperative binding interactions.  Why are these plots NOT hyperb</w:t>
      </w:r>
      <w:r>
        <w:t>olic even they the enthalpy changes can be best modeled by a simple, non-cooperative binding of M and L with a stoichiometry of 1?</w:t>
      </w:r>
    </w:p>
    <w:p w:rsidR="00000000" w:rsidRDefault="007F5C5E">
      <w:pPr>
        <w:pStyle w:val="NormalWeb"/>
      </w:pPr>
      <w:r>
        <w:t xml:space="preserve">b. Is the binding exothermic or endothermic?  What is the sign of </w:t>
      </w:r>
      <w:r>
        <w:rPr>
          <w:rStyle w:val="auto-style111"/>
        </w:rPr>
        <w:t></w:t>
      </w:r>
      <w:r>
        <w:t>H?</w:t>
      </w:r>
    </w:p>
    <w:p w:rsidR="00000000" w:rsidRDefault="007F5C5E">
      <w:pPr>
        <w:pStyle w:val="auto-style14"/>
      </w:pPr>
      <w:r>
        <w:t> </w:t>
      </w:r>
    </w:p>
    <w:p w:rsidR="00000000" w:rsidRDefault="007F5C5E">
      <w:pPr>
        <w:pStyle w:val="NormalWeb"/>
      </w:pPr>
      <w:r>
        <w:t>b.  Which one proceeds with a lower dissociation cons</w:t>
      </w:r>
      <w:r>
        <w:t>tant (Kd)?</w:t>
      </w:r>
    </w:p>
    <w:p w:rsidR="00000000" w:rsidRDefault="007F5C5E">
      <w:pPr>
        <w:pStyle w:val="NormalWeb"/>
      </w:pPr>
      <w:r>
        <w:t xml:space="preserve">c.  Assuming that the binding is favored, which one has a more negative </w:t>
      </w:r>
      <w:r>
        <w:rPr>
          <w:rStyle w:val="auto-style111"/>
        </w:rPr>
        <w:t></w:t>
      </w:r>
      <w:r>
        <w:t>G</w:t>
      </w:r>
      <w:r>
        <w:rPr>
          <w:vertAlign w:val="superscript"/>
        </w:rPr>
        <w:t>0</w:t>
      </w:r>
      <w:r>
        <w:t>?  Assume equal concentrations of SelB in the sample cell.  Which one is more favored under standard condition?</w:t>
      </w:r>
    </w:p>
    <w:p w:rsidR="00000000" w:rsidRDefault="007F5C5E">
      <w:pPr>
        <w:pStyle w:val="auto-style14"/>
      </w:pPr>
      <w:r>
        <w:t> </w:t>
      </w:r>
    </w:p>
    <w:p w:rsidR="00000000" w:rsidRDefault="007F5C5E">
      <w:pPr>
        <w:pStyle w:val="NormalWeb"/>
      </w:pPr>
      <w:r>
        <w:t>d.  The change in Gibbs Free energy is also related to t</w:t>
      </w:r>
      <w:r>
        <w:t>he change in enthalpy and entropy as shown in the equation below:</w:t>
      </w:r>
    </w:p>
    <w:p w:rsidR="00000000" w:rsidRDefault="007F5C5E">
      <w:pPr>
        <w:pStyle w:val="style5"/>
      </w:pPr>
      <w:r>
        <w:rPr>
          <w:noProof/>
        </w:rPr>
        <w:drawing>
          <wp:inline distT="0" distB="0" distL="0" distR="0">
            <wp:extent cx="2085975" cy="752475"/>
            <wp:effectExtent l="0" t="0" r="9525" b="9525"/>
            <wp:docPr id="9" name="Picture 9" descr="DelG_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G_H_S"/>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inline>
        </w:drawing>
      </w:r>
    </w:p>
    <w:p w:rsidR="00000000" w:rsidRDefault="007F5C5E">
      <w:pPr>
        <w:pStyle w:val="NormalWeb"/>
      </w:pPr>
      <w:r>
        <w:lastRenderedPageBreak/>
        <w:t xml:space="preserve">Can you deduce from simple inspection of the curves above if </w:t>
      </w:r>
      <w:bookmarkStart w:id="0" w:name="_GoBack"/>
      <w:bookmarkEnd w:id="0"/>
      <w:r>
        <w:rPr>
          <w:rStyle w:val="auto-style111"/>
        </w:rPr>
        <w:t></w:t>
      </w:r>
      <w:r>
        <w:rPr>
          <w:rStyle w:val="auto-style121"/>
        </w:rPr>
        <w:t>S</w:t>
      </w:r>
      <w:r>
        <w:rPr>
          <w:vertAlign w:val="superscript"/>
        </w:rPr>
        <w:t xml:space="preserve">0 </w:t>
      </w:r>
      <w:r>
        <w:t>is &lt;, =, or &gt;?  Explain.</w:t>
      </w:r>
    </w:p>
    <w:p w:rsidR="00000000" w:rsidRDefault="007F5C5E">
      <w:pPr>
        <w:pStyle w:val="auto-style14"/>
      </w:pPr>
      <w:r>
        <w:t> </w:t>
      </w:r>
    </w:p>
    <w:p w:rsidR="00000000" w:rsidRDefault="007F5C5E">
      <w:pPr>
        <w:pStyle w:val="auto-style16"/>
      </w:pPr>
      <w:r>
        <w:t>The ITC thermograms comparing the binding of GTP (A) and two analogs of G</w:t>
      </w:r>
      <w:r>
        <w:t>TP, GTPγS (B), GDPNP (C), are shown below</w:t>
      </w:r>
    </w:p>
    <w:p w:rsidR="00000000" w:rsidRDefault="007F5C5E">
      <w:pPr>
        <w:pStyle w:val="style5"/>
      </w:pPr>
      <w:r>
        <w:rPr>
          <w:noProof/>
        </w:rPr>
        <w:drawing>
          <wp:inline distT="0" distB="0" distL="0" distR="0">
            <wp:extent cx="5762625" cy="2657475"/>
            <wp:effectExtent l="0" t="0" r="9525" b="9525"/>
            <wp:docPr id="10" name="Picture 10" descr="ITC GTP ana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TC GTP analogs"/>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5762625" cy="2657475"/>
                    </a:xfrm>
                    <a:prstGeom prst="rect">
                      <a:avLst/>
                    </a:prstGeom>
                    <a:noFill/>
                    <a:ln>
                      <a:noFill/>
                    </a:ln>
                  </pic:spPr>
                </pic:pic>
              </a:graphicData>
            </a:graphic>
          </wp:inline>
        </w:drawing>
      </w:r>
    </w:p>
    <w:p w:rsidR="00000000" w:rsidRDefault="007F5C5E">
      <w:pPr>
        <w:pStyle w:val="NormalWeb"/>
      </w:pPr>
      <w:r>
        <w:t>d.  Again assuming similar concentration of SelB in the sample C, compare the Kds for the intera</w:t>
      </w:r>
      <w:r>
        <w:t>ction of GTPγS and  GDPN to SelB.</w:t>
      </w:r>
    </w:p>
    <w:p w:rsidR="00000000" w:rsidRDefault="007F5C5E">
      <w:pPr>
        <w:pStyle w:val="NormalWeb"/>
      </w:pPr>
      <w:r>
        <w:lastRenderedPageBreak/>
        <w:t>e. The structures of GTP and the two analogs are shown below.  Suggests a reason that the investigators used the analogs in their studies.</w:t>
      </w:r>
    </w:p>
    <w:p w:rsidR="00000000" w:rsidRDefault="007F5C5E">
      <w:pPr>
        <w:pStyle w:val="style5"/>
      </w:pPr>
      <w:r>
        <w:rPr>
          <w:noProof/>
        </w:rPr>
        <w:drawing>
          <wp:inline distT="0" distB="0" distL="0" distR="0">
            <wp:extent cx="5848350" cy="2457450"/>
            <wp:effectExtent l="0" t="0" r="0" b="0"/>
            <wp:docPr id="11" name="Picture 11" descr="GTP and ana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TP and analog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5848350" cy="2457450"/>
                    </a:xfrm>
                    <a:prstGeom prst="rect">
                      <a:avLst/>
                    </a:prstGeom>
                    <a:noFill/>
                    <a:ln>
                      <a:noFill/>
                    </a:ln>
                  </pic:spPr>
                </pic:pic>
              </a:graphicData>
            </a:graphic>
          </wp:inline>
        </w:drawing>
      </w:r>
    </w:p>
    <w:p w:rsidR="00000000" w:rsidRDefault="007F5C5E">
      <w:pPr>
        <w:pStyle w:val="auto-style14"/>
      </w:pPr>
      <w:r>
        <w:t> </w:t>
      </w:r>
    </w:p>
    <w:p w:rsidR="00000000" w:rsidRDefault="007F5C5E">
      <w:pPr>
        <w:pStyle w:val="NormalWeb"/>
      </w:pPr>
      <w:r>
        <w:t xml:space="preserve">f.  The ITC thermograms be fit to a theoretical model for M and L binding with a stoichiometry of one.  From this data fit, Kd can be determined.  How would you calculate the </w:t>
      </w:r>
      <w:r>
        <w:rPr>
          <w:rStyle w:val="auto-style111"/>
        </w:rPr>
        <w:t></w:t>
      </w:r>
      <w:r>
        <w:t>S</w:t>
      </w:r>
      <w:r>
        <w:rPr>
          <w:vertAlign w:val="superscript"/>
        </w:rPr>
        <w:t>0</w:t>
      </w:r>
      <w:r>
        <w:t xml:space="preserve"> for the interaction of SelB and GXP?</w:t>
      </w:r>
    </w:p>
    <w:p w:rsidR="00000000" w:rsidRDefault="007F5C5E">
      <w:pPr>
        <w:pStyle w:val="auto-style14"/>
      </w:pPr>
      <w:r>
        <w:t> </w:t>
      </w:r>
    </w:p>
    <w:p w:rsidR="00000000" w:rsidRDefault="007F5C5E">
      <w:pPr>
        <w:pStyle w:val="NormalWeb"/>
      </w:pPr>
      <w:r>
        <w:t>The thermodyn</w:t>
      </w:r>
      <w:r>
        <w:t>amic parameters of SelB binding to guanine nucleotides at different temperatures are shown below.</w:t>
      </w:r>
    </w:p>
    <w:p w:rsidR="00000000" w:rsidRDefault="007F5C5E">
      <w:pPr>
        <w:pStyle w:val="style5"/>
      </w:pPr>
      <w:r>
        <w:rPr>
          <w:noProof/>
        </w:rPr>
        <w:lastRenderedPageBreak/>
        <w:drawing>
          <wp:inline distT="0" distB="0" distL="0" distR="0">
            <wp:extent cx="3495675" cy="4314825"/>
            <wp:effectExtent l="0" t="0" r="9525" b="9525"/>
            <wp:docPr id="12" name="Picture 12" descr="Table Thermo Para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 Thermo Parameters"/>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3495675" cy="4314825"/>
                    </a:xfrm>
                    <a:prstGeom prst="rect">
                      <a:avLst/>
                    </a:prstGeom>
                    <a:noFill/>
                    <a:ln>
                      <a:noFill/>
                    </a:ln>
                  </pic:spPr>
                </pic:pic>
              </a:graphicData>
            </a:graphic>
          </wp:inline>
        </w:drawing>
      </w:r>
    </w:p>
    <w:p w:rsidR="00000000" w:rsidRDefault="007F5C5E">
      <w:pPr>
        <w:pStyle w:val="style10"/>
      </w:pPr>
      <w:r>
        <w:t xml:space="preserve">g.  Do they </w:t>
      </w:r>
      <w:r>
        <w:t>confirm your answers to b and d above?</w:t>
      </w:r>
    </w:p>
    <w:p w:rsidR="00000000" w:rsidRDefault="007F5C5E">
      <w:pPr>
        <w:pStyle w:val="style10"/>
      </w:pPr>
      <w:r>
        <w:t xml:space="preserve">2.  To determine the effect of change in protonation state on binding of SelB and GXP, the effect of different buffer solutions on the binding enthalpy of SelB-GTP was studied.  </w:t>
      </w:r>
    </w:p>
    <w:p w:rsidR="00000000" w:rsidRDefault="007F5C5E">
      <w:pPr>
        <w:pStyle w:val="style10"/>
      </w:pPr>
      <w:r>
        <w:rPr>
          <w:rStyle w:val="auto-style81"/>
        </w:rPr>
        <w:lastRenderedPageBreak/>
        <w:t>Figure A</w:t>
      </w:r>
      <w:r>
        <w:t xml:space="preserve"> below shows binding enthalpy </w:t>
      </w:r>
      <w:r>
        <w:t>of GTP to SelB in phosphate buffer (</w:t>
      </w:r>
      <w:r>
        <w:t>●</w:t>
      </w:r>
      <w:r>
        <w:t>), HEPES buffer (</w:t>
      </w:r>
      <w:r>
        <w:rPr>
          <w:rFonts w:ascii="Arial" w:hAnsi="Arial" w:cs="Arial"/>
        </w:rPr>
        <w:t>○</w:t>
      </w:r>
      <w:r>
        <w:t>), and Tris buffer (</w:t>
      </w:r>
      <w:r>
        <w:rPr>
          <w:rFonts w:ascii="Arial" w:hAnsi="Arial" w:cs="Arial"/>
        </w:rPr>
        <w:t>■</w:t>
      </w:r>
      <w:r>
        <w:t xml:space="preserve">) as a function of temperature. </w:t>
      </w:r>
    </w:p>
    <w:p w:rsidR="00000000" w:rsidRDefault="007F5C5E">
      <w:pPr>
        <w:pStyle w:val="style10"/>
      </w:pPr>
      <w:r>
        <w:t> </w:t>
      </w:r>
    </w:p>
    <w:p w:rsidR="00000000" w:rsidRDefault="007F5C5E">
      <w:pPr>
        <w:pStyle w:val="style5"/>
      </w:pPr>
      <w:r>
        <w:rPr>
          <w:noProof/>
        </w:rPr>
        <w:drawing>
          <wp:inline distT="0" distB="0" distL="0" distR="0">
            <wp:extent cx="5153025" cy="1581150"/>
            <wp:effectExtent l="0" t="0" r="9525" b="0"/>
            <wp:docPr id="13" name="Picture 13" descr="SelBFi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lBFig 2"/>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5153025" cy="1581150"/>
                    </a:xfrm>
                    <a:prstGeom prst="rect">
                      <a:avLst/>
                    </a:prstGeom>
                    <a:noFill/>
                    <a:ln>
                      <a:noFill/>
                    </a:ln>
                  </pic:spPr>
                </pic:pic>
              </a:graphicData>
            </a:graphic>
          </wp:inline>
        </w:drawing>
      </w:r>
    </w:p>
    <w:p w:rsidR="00000000" w:rsidRDefault="007F5C5E">
      <w:pPr>
        <w:pStyle w:val="style10"/>
      </w:pPr>
      <w:r>
        <w:t>a.  Any change in enthalpy accompanying proton release or uptake on bind</w:t>
      </w:r>
      <w:r>
        <w:t xml:space="preserve">ing of a macromolecule to a ligand would be affected by the change in enthalpy on binding of protons to the buffer base.  To investigate the effect of buffer ionization enthalpy, the Each of the buffers has a different </w:t>
      </w:r>
      <w:r>
        <w:rPr>
          <w:rStyle w:val="auto-style111"/>
        </w:rPr>
        <w:t></w:t>
      </w:r>
      <w:r>
        <w:t>H</w:t>
      </w:r>
      <w:r>
        <w:rPr>
          <w:vertAlign w:val="subscript"/>
        </w:rPr>
        <w:t>ion</w:t>
      </w:r>
      <w:r>
        <w:t xml:space="preserve"> which is the enthalpy change on</w:t>
      </w:r>
      <w:r>
        <w:t xml:space="preserve"> ionization of a proton from the buffer acid.  State two facts that characterize the graphs.</w:t>
      </w:r>
    </w:p>
    <w:p w:rsidR="00000000" w:rsidRDefault="007F5C5E">
      <w:pPr>
        <w:pStyle w:val="auto-style17"/>
      </w:pPr>
      <w:r>
        <w:t> </w:t>
      </w:r>
    </w:p>
    <w:p w:rsidR="00000000" w:rsidRDefault="007F5C5E">
      <w:pPr>
        <w:pStyle w:val="style10"/>
      </w:pPr>
      <w:r>
        <w:lastRenderedPageBreak/>
        <w:t xml:space="preserve">b.   </w:t>
      </w:r>
      <w:r>
        <w:rPr>
          <w:rStyle w:val="auto-style81"/>
        </w:rPr>
        <w:t>Figure B</w:t>
      </w:r>
      <w:r>
        <w:t xml:space="preserve"> above shows the dependence of binding enthalpy of SelB-GTP interaction (y axis) on the buffer proton-ionization enthalpy at 10 °C (</w:t>
      </w:r>
      <w:r>
        <w:t>●</w:t>
      </w:r>
      <w:r>
        <w:t>), 15 °C (</w:t>
      </w:r>
      <w:r>
        <w:rPr>
          <w:rFonts w:ascii="Arial" w:hAnsi="Arial" w:cs="Arial"/>
        </w:rPr>
        <w:t>○</w:t>
      </w:r>
      <w:r>
        <w:t>), 20 °C (</w:t>
      </w:r>
      <w:r>
        <w:rPr>
          <w:rFonts w:ascii="Arial" w:hAnsi="Arial" w:cs="Arial"/>
        </w:rPr>
        <w:t>■</w:t>
      </w:r>
      <w:r>
        <w:t>), and 25 °C (</w:t>
      </w:r>
      <w:r>
        <w:t>□</w:t>
      </w:r>
      <w:r>
        <w:t>) for 4 different buffers whose enthalpy of ionization are known at different temperature (x axis).  What are the units for the slope of the line?  What is the actual slope?  What does this tell you?  What does the y intercept tel</w:t>
      </w:r>
      <w:r>
        <w:t>l you?  Why use is the y intercept in this study?</w:t>
      </w:r>
    </w:p>
    <w:p w:rsidR="00000000" w:rsidRDefault="007F5C5E">
      <w:pPr>
        <w:pStyle w:val="auto-style17"/>
      </w:pPr>
      <w:r>
        <w:t> </w:t>
      </w:r>
    </w:p>
    <w:p w:rsidR="00000000" w:rsidRDefault="007F5C5E">
      <w:pPr>
        <w:pStyle w:val="style10"/>
      </w:pPr>
      <w:r>
        <w:rPr>
          <w:rStyle w:val="auto-style81"/>
        </w:rPr>
        <w:t>Figure C</w:t>
      </w:r>
      <w:r>
        <w:t xml:space="preserve"> above shows the enthalpy change for binding of SelB and GTP corrected for buffer solution protonation changes. Standard deviations of measurements are given by error bars (in some cases not visib</w:t>
      </w:r>
      <w:r>
        <w:t xml:space="preserve">le because they are smaller than symbol size) Note that the </w:t>
      </w:r>
      <w:r>
        <w:rPr>
          <w:rStyle w:val="auto-style111"/>
        </w:rPr>
        <w:t></w:t>
      </w:r>
      <w:r>
        <w:t>H is a linear function of temperature.   The slope of the line has units of kcal/mol/</w:t>
      </w:r>
      <w:r>
        <w:rPr>
          <w:vertAlign w:val="superscript"/>
        </w:rPr>
        <w:t>o</w:t>
      </w:r>
      <w:r>
        <w:t xml:space="preserve">C which is heat capacity.  The change in heat capacity, </w:t>
      </w:r>
      <w:r>
        <w:rPr>
          <w:rStyle w:val="auto-style111"/>
        </w:rPr>
        <w:t></w:t>
      </w:r>
      <w:r>
        <w:t>Cp = d</w:t>
      </w:r>
      <w:r>
        <w:rPr>
          <w:rStyle w:val="auto-style111"/>
        </w:rPr>
        <w:t></w:t>
      </w:r>
      <w:r>
        <w:t>H/dT can give us insight into the nature of t</w:t>
      </w:r>
      <w:r>
        <w:t>he binding interactions.  To understand this, first consider change in thermodynamic parameter when benzene is transferred from pure benzene to water.  A graph showing thermodynamic properties as a function of temperature for this transfer reaction is show</w:t>
      </w:r>
      <w:r>
        <w:t xml:space="preserve">n below.   </w:t>
      </w:r>
    </w:p>
    <w:p w:rsidR="00000000" w:rsidRDefault="007F5C5E">
      <w:pPr>
        <w:pStyle w:val="style5"/>
      </w:pPr>
      <w:r>
        <w:rPr>
          <w:noProof/>
        </w:rPr>
        <w:lastRenderedPageBreak/>
        <w:drawing>
          <wp:inline distT="0" distB="0" distL="0" distR="0">
            <wp:extent cx="2019300" cy="2390775"/>
            <wp:effectExtent l="0" t="0" r="0" b="9525"/>
            <wp:docPr id="14" name="Picture 14" descr="DelGHStransferBenzen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lGHStransferBenzeneWate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2019300" cy="2390775"/>
                    </a:xfrm>
                    <a:prstGeom prst="rect">
                      <a:avLst/>
                    </a:prstGeom>
                    <a:noFill/>
                    <a:ln>
                      <a:noFill/>
                    </a:ln>
                  </pic:spPr>
                </pic:pic>
              </a:graphicData>
            </a:graphic>
          </wp:inline>
        </w:drawing>
      </w:r>
    </w:p>
    <w:p w:rsidR="00000000" w:rsidRDefault="007F5C5E">
      <w:pPr>
        <w:pStyle w:val="style10"/>
      </w:pPr>
      <w:r>
        <w:t xml:space="preserve">c.  Is the positive value of </w:t>
      </w:r>
      <w:r>
        <w:rPr>
          <w:rStyle w:val="auto-style111"/>
        </w:rPr>
        <w:t></w:t>
      </w:r>
      <w:r>
        <w:t>G for transfer of benzene from pure benzene to water in accord wi</w:t>
      </w:r>
      <w:r>
        <w:t>th your understanding of physical and chemical properties of benzene?  Explain.</w:t>
      </w:r>
    </w:p>
    <w:p w:rsidR="00000000" w:rsidRDefault="007F5C5E">
      <w:pPr>
        <w:pStyle w:val="auto-style17"/>
      </w:pPr>
      <w:r>
        <w:t> </w:t>
      </w:r>
    </w:p>
    <w:p w:rsidR="00000000" w:rsidRDefault="007F5C5E">
      <w:pPr>
        <w:pStyle w:val="style10"/>
      </w:pPr>
      <w:r>
        <w:t>d.  At first glance you might expect that the collective benzene-benzene IMFs and H2O-H2O IMFS might be stronger than benzene-H2O IMFs and hence the dissolution of benzene in</w:t>
      </w:r>
      <w:r>
        <w:t xml:space="preserve"> water might require an input of heat energy to drive it so the process would be endothermic.  Yet around 275K it is a bit favored enthalpically to for benzene to dissolve in water.  What dramatically disfavors it is entropy.  This is manifestation of the </w:t>
      </w:r>
      <w:r>
        <w:t xml:space="preserve">hydrophobic effect which helps  drive protein folding so that hydrophobic side chains are buried.  </w:t>
      </w:r>
    </w:p>
    <w:p w:rsidR="00000000" w:rsidRDefault="007F5C5E">
      <w:pPr>
        <w:pStyle w:val="style10"/>
      </w:pPr>
      <w:r>
        <w:lastRenderedPageBreak/>
        <w:t xml:space="preserve">A key signature of the hydrophobic effect is that the transfer of nonpolar groups to water is associated with a positive </w:t>
      </w:r>
      <w:r>
        <w:rPr>
          <w:rStyle w:val="auto-style111"/>
        </w:rPr>
        <w:t></w:t>
      </w:r>
      <w:r>
        <w:t>Cp.  Note that taking benzene from</w:t>
      </w:r>
      <w:r>
        <w:t xml:space="preserve"> benzene is water is characterized by a linearly increasing </w:t>
      </w:r>
      <w:r>
        <w:rPr>
          <w:rStyle w:val="auto-style111"/>
        </w:rPr>
        <w:t></w:t>
      </w:r>
      <w:r>
        <w:t xml:space="preserve">H with increasing temperature and hence a positive </w:t>
      </w:r>
      <w:r>
        <w:rPr>
          <w:rStyle w:val="auto-style111"/>
        </w:rPr>
        <w:t></w:t>
      </w:r>
      <w:r>
        <w:t xml:space="preserve">Cp.  We will use this idea to analyze the </w:t>
      </w:r>
      <w:r>
        <w:rPr>
          <w:rStyle w:val="auto-style111"/>
        </w:rPr>
        <w:t></w:t>
      </w:r>
      <w:r>
        <w:t xml:space="preserve">Cp for SelB and GTP binding.  For graph C above, what is the sign of </w:t>
      </w:r>
      <w:r>
        <w:rPr>
          <w:rStyle w:val="auto-style111"/>
        </w:rPr>
        <w:t></w:t>
      </w:r>
      <w:r>
        <w:t>Cp?  What molecular interpreta</w:t>
      </w:r>
      <w:r>
        <w:t xml:space="preserve">tion can you give to that value?  </w:t>
      </w:r>
    </w:p>
    <w:p w:rsidR="00000000" w:rsidRDefault="007F5C5E">
      <w:pPr>
        <w:pStyle w:val="style10"/>
      </w:pPr>
      <w:r>
        <w:t> </w:t>
      </w:r>
    </w:p>
    <w:p w:rsidR="00000000" w:rsidRDefault="007F5C5E">
      <w:pPr>
        <w:pStyle w:val="style10"/>
      </w:pPr>
      <w:r>
        <w:t xml:space="preserve">3.  The main source of </w:t>
      </w:r>
      <w:r>
        <w:rPr>
          <w:rStyle w:val="auto-style111"/>
        </w:rPr>
        <w:t></w:t>
      </w:r>
      <w:r>
        <w:t xml:space="preserve">Cp changes on binding  arise from loss of water of interacting water from the surfaces of protein and ligand on binding, with the main contribution arising from the hydrophoboic effect.  Another </w:t>
      </w:r>
      <w:r>
        <w:t xml:space="preserve">less sizeable contribution to </w:t>
      </w:r>
      <w:r>
        <w:rPr>
          <w:rStyle w:val="auto-style111"/>
        </w:rPr>
        <w:t></w:t>
      </w:r>
      <w:r>
        <w:t xml:space="preserve">Cp would arise from burying polar residues with the ensuing changes in bound and bulk water interaction potentials.  The following equation has been used to show the contribution to ΔCp from </w:t>
      </w:r>
      <w:r>
        <w:rPr>
          <w:rStyle w:val="Strong"/>
        </w:rPr>
        <w:t>dissolution</w:t>
      </w:r>
      <w:r>
        <w:t xml:space="preserve"> of solids compounds in</w:t>
      </w:r>
      <w:r>
        <w:t xml:space="preserve"> water: </w:t>
      </w:r>
    </w:p>
    <w:p w:rsidR="00000000" w:rsidRDefault="007F5C5E">
      <w:pPr>
        <w:pStyle w:val="style5"/>
      </w:pPr>
      <w:r>
        <w:t xml:space="preserve"> ΔCp = </w:t>
      </w:r>
      <w:r>
        <w:rPr>
          <w:rStyle w:val="auto-style111"/>
        </w:rPr>
        <w:t></w:t>
      </w:r>
      <w:r>
        <w:t>c</w:t>
      </w:r>
      <w:r>
        <w:rPr>
          <w:vertAlign w:val="subscript"/>
        </w:rPr>
        <w:t>ap</w:t>
      </w:r>
      <w:r>
        <w:rPr>
          <w:rStyle w:val="auto-style111"/>
        </w:rPr>
        <w:t></w:t>
      </w:r>
      <w:r>
        <w:t>ASA</w:t>
      </w:r>
      <w:r>
        <w:rPr>
          <w:vertAlign w:val="subscript"/>
        </w:rPr>
        <w:t xml:space="preserve">ap </w:t>
      </w:r>
      <w:r>
        <w:t xml:space="preserve">+ </w:t>
      </w:r>
      <w:r>
        <w:rPr>
          <w:rStyle w:val="auto-style111"/>
        </w:rPr>
        <w:t></w:t>
      </w:r>
      <w:r>
        <w:t>c</w:t>
      </w:r>
      <w:r>
        <w:rPr>
          <w:vertAlign w:val="subscript"/>
        </w:rPr>
        <w:t>p</w:t>
      </w:r>
      <w:r>
        <w:rPr>
          <w:rStyle w:val="auto-style111"/>
        </w:rPr>
        <w:t></w:t>
      </w:r>
      <w:r>
        <w:t>ASA</w:t>
      </w:r>
      <w:r>
        <w:rPr>
          <w:vertAlign w:val="subscript"/>
        </w:rPr>
        <w:t>p</w:t>
      </w:r>
      <w:r>
        <w:t xml:space="preserve">, </w:t>
      </w:r>
    </w:p>
    <w:p w:rsidR="00000000" w:rsidRDefault="007F5C5E">
      <w:pPr>
        <w:pStyle w:val="style10"/>
      </w:pPr>
      <w:r>
        <w:t xml:space="preserve">where </w:t>
      </w:r>
      <w:r>
        <w:rPr>
          <w:rStyle w:val="auto-style111"/>
        </w:rPr>
        <w:t></w:t>
      </w:r>
      <w:r>
        <w:t>ASA</w:t>
      </w:r>
      <w:r>
        <w:rPr>
          <w:vertAlign w:val="subscript"/>
        </w:rPr>
        <w:t>ap</w:t>
      </w:r>
      <w:r>
        <w:t xml:space="preserve"> and </w:t>
      </w:r>
      <w:r>
        <w:rPr>
          <w:rStyle w:val="auto-style111"/>
        </w:rPr>
        <w:t></w:t>
      </w:r>
      <w:r>
        <w:t>ASA</w:t>
      </w:r>
      <w:r>
        <w:rPr>
          <w:vertAlign w:val="subscript"/>
        </w:rPr>
        <w:t>p</w:t>
      </w:r>
      <w:r>
        <w:t xml:space="preserve"> are the apolar and polar solvent accessible surface areas changes, respectively.  Model compounds give values of </w:t>
      </w:r>
      <w:r>
        <w:rPr>
          <w:rStyle w:val="auto-style111"/>
        </w:rPr>
        <w:t></w:t>
      </w:r>
      <w:r>
        <w:t>c</w:t>
      </w:r>
      <w:r>
        <w:rPr>
          <w:vertAlign w:val="subscript"/>
        </w:rPr>
        <w:t>ap</w:t>
      </w:r>
      <w:r>
        <w:rPr>
          <w:rStyle w:val="auto-style111"/>
        </w:rPr>
        <w:t></w:t>
      </w:r>
      <w:r>
        <w:rPr>
          <w:rStyle w:val="auto-style111"/>
        </w:rPr>
        <w:t></w:t>
      </w:r>
      <w:r>
        <w:rPr>
          <w:rStyle w:val="auto-style111"/>
        </w:rPr>
        <w:t></w:t>
      </w:r>
      <w:r>
        <w:rPr>
          <w:rStyle w:val="auto-style111"/>
        </w:rPr>
        <w:t></w:t>
      </w:r>
      <w:r>
        <w:rPr>
          <w:rStyle w:val="auto-style111"/>
        </w:rPr>
        <w:t></w:t>
      </w:r>
      <w:r>
        <w:rPr>
          <w:rStyle w:val="auto-style111"/>
        </w:rPr>
        <w:t></w:t>
      </w:r>
      <w:r>
        <w:rPr>
          <w:rStyle w:val="auto-style111"/>
        </w:rPr>
        <w:t></w:t>
      </w:r>
      <w:r>
        <w:rPr>
          <w:rStyle w:val="auto-style111"/>
        </w:rPr>
        <w:t></w:t>
      </w:r>
      <w:r>
        <w:rPr>
          <w:rStyle w:val="auto-style181"/>
        </w:rPr>
        <w:t>and</w:t>
      </w:r>
      <w:r>
        <w:rPr>
          <w:rStyle w:val="auto-style111"/>
        </w:rPr>
        <w:t></w:t>
      </w:r>
      <w:r>
        <w:rPr>
          <w:rStyle w:val="auto-style111"/>
        </w:rPr>
        <w:t></w:t>
      </w:r>
      <w:r>
        <w:t>c</w:t>
      </w:r>
      <w:r>
        <w:rPr>
          <w:rStyle w:val="auto-style181"/>
          <w:vertAlign w:val="subscript"/>
        </w:rPr>
        <w:t>p</w:t>
      </w:r>
      <w:r>
        <w:rPr>
          <w:rStyle w:val="auto-style181"/>
        </w:rPr>
        <w:t xml:space="preserve">= -0.26 per mol of SA (angstroms squared).  </w:t>
      </w:r>
    </w:p>
    <w:p w:rsidR="00000000" w:rsidRDefault="007F5C5E">
      <w:pPr>
        <w:pStyle w:val="style10"/>
      </w:pPr>
      <w:r>
        <w:t>Table 2 below shows heat capacity changes and accessible surface area for SelB binding to guanine nucleotides.  ΔCp, heat capacity change; obtained as ΔH/dT; ΔASAap and ΔASAp, changes in apolar and polar solvent-accessible surface areas assuming that all t</w:t>
      </w:r>
      <w:r>
        <w:t xml:space="preserve">he changes were conferred by either apolar (AAap) or polar (AAp) residues, respectively with </w:t>
      </w:r>
      <w:r>
        <w:lastRenderedPageBreak/>
        <w:t>no contribution from the other. (Ex:  for GTP in Hepes, 621/0.45=1380)  The values for the buried area were converted into the numbers of amino acids that were rem</w:t>
      </w:r>
      <w:r>
        <w:t xml:space="preserve">oved from the surface using the average ASA for apolar (34 Å2) and polar (56 Å2) amino acids.  </w:t>
      </w:r>
    </w:p>
    <w:p w:rsidR="00000000" w:rsidRDefault="007F5C5E">
      <w:pPr>
        <w:pStyle w:val="style5"/>
      </w:pPr>
      <w:r>
        <w:rPr>
          <w:noProof/>
        </w:rPr>
        <w:drawing>
          <wp:inline distT="0" distB="0" distL="0" distR="0">
            <wp:extent cx="4762500" cy="2238375"/>
            <wp:effectExtent l="0" t="0" r="0" b="9525"/>
            <wp:docPr id="15" name="Picture 15" descr="SelBGTPTab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elBGTPTable2"/>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4762500" cy="2238375"/>
                    </a:xfrm>
                    <a:prstGeom prst="rect">
                      <a:avLst/>
                    </a:prstGeom>
                    <a:noFill/>
                    <a:ln>
                      <a:noFill/>
                    </a:ln>
                  </pic:spPr>
                </pic:pic>
              </a:graphicData>
            </a:graphic>
          </wp:inline>
        </w:drawing>
      </w:r>
    </w:p>
    <w:p w:rsidR="00000000" w:rsidRDefault="007F5C5E">
      <w:pPr>
        <w:pStyle w:val="style10"/>
      </w:pPr>
      <w:r>
        <w:t>Figure 3 shows the heat capacity changes u</w:t>
      </w:r>
      <w:r>
        <w:t>pon SelB interaction with guanine nucleotides. A, temperature dependence of binding enthalpy changes upon SelB interactions with GTP (</w:t>
      </w:r>
      <w:r>
        <w:t>●</w:t>
      </w:r>
      <w:r>
        <w:t>), GTPγS (</w:t>
      </w:r>
      <w:r>
        <w:rPr>
          <w:rFonts w:ascii="Arial" w:hAnsi="Arial" w:cs="Arial"/>
        </w:rPr>
        <w:t>○</w:t>
      </w:r>
      <w:r>
        <w:t>), GDPNP (</w:t>
      </w:r>
      <w:r>
        <w:rPr>
          <w:rFonts w:ascii="Arial" w:hAnsi="Arial" w:cs="Arial"/>
        </w:rPr>
        <w:t>■</w:t>
      </w:r>
      <w:r>
        <w:t>), and GDP (</w:t>
      </w:r>
      <w:r>
        <w:t>□</w:t>
      </w:r>
      <w:r>
        <w:t>). Standard deviations of measurements are given by error bars, which are smaller than</w:t>
      </w:r>
      <w:r>
        <w:t xml:space="preserve"> the symbol size. B, bar representation of heat capacity changes upon SelB interactions with guanine nucleotides. </w:t>
      </w:r>
    </w:p>
    <w:p w:rsidR="00000000" w:rsidRDefault="007F5C5E">
      <w:pPr>
        <w:pStyle w:val="style5"/>
      </w:pPr>
      <w:r>
        <w:rPr>
          <w:noProof/>
        </w:rPr>
        <w:lastRenderedPageBreak/>
        <w:drawing>
          <wp:inline distT="0" distB="0" distL="0" distR="0">
            <wp:extent cx="4267200" cy="2124075"/>
            <wp:effectExtent l="0" t="0" r="0" b="9525"/>
            <wp:docPr id="16" name="Picture 16" descr="SelBGTP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lBGTPFig3"/>
                    <pic:cNvPicPr>
                      <a:picLocks noChangeAspect="1" noChangeArrowheads="1"/>
                    </pic:cNvPicPr>
                  </pic:nvPicPr>
                  <pic:blipFill>
                    <a:blip r:link="rId30">
                      <a:extLst>
                        <a:ext uri="{28A0092B-C50C-407E-A947-70E740481C1C}">
                          <a14:useLocalDpi xmlns:a14="http://schemas.microsoft.com/office/drawing/2010/main" val="0"/>
                        </a:ext>
                      </a:extLst>
                    </a:blip>
                    <a:srcRect/>
                    <a:stretch>
                      <a:fillRect/>
                    </a:stretch>
                  </pic:blipFill>
                  <pic:spPr bwMode="auto">
                    <a:xfrm>
                      <a:off x="0" y="0"/>
                      <a:ext cx="4267200" cy="2124075"/>
                    </a:xfrm>
                    <a:prstGeom prst="rect">
                      <a:avLst/>
                    </a:prstGeom>
                    <a:noFill/>
                    <a:ln>
                      <a:noFill/>
                    </a:ln>
                  </pic:spPr>
                </pic:pic>
              </a:graphicData>
            </a:graphic>
          </wp:inline>
        </w:drawing>
      </w:r>
    </w:p>
    <w:p w:rsidR="00000000" w:rsidRDefault="007F5C5E">
      <w:pPr>
        <w:pStyle w:val="NormalWeb"/>
      </w:pPr>
      <w:r>
        <w:t>From graphs A and B and Table 2 a</w:t>
      </w:r>
      <w:r>
        <w:t>bove, compare the similarities and differences between the free and bound states of SelB with the different ligands.</w:t>
      </w:r>
    </w:p>
    <w:p w:rsidR="00000000" w:rsidRDefault="007F5C5E">
      <w:pPr>
        <w:pStyle w:val="NormalWeb"/>
      </w:pPr>
      <w:r>
        <w:t>4.  To further study the differences in SelB conformations upon binding of GTP, GDP, and nonhydrolyzable analogs,  SelB and its complexes w</w:t>
      </w:r>
      <w:r>
        <w:t>ere separated by size-exclusion chromatography which separates on hydrodynamic volume (with larger molecules of the same shape eluting first). Figure 4 below shows the separation of apo form and nucleotide-bound forms of SelB by size-exclusion chromatograp</w:t>
      </w:r>
      <w:r>
        <w:t xml:space="preserve">hy. Elution profiles of SelB·GTP (——), SelB·GTPγS (– – –), SelB·GDP (····), SelB·GDPNP (·–·–·–), and SelB (··–··–··–) were monitored by intrinsic tryptophan fluorescence (λexcitation = 280 nm, λemission = 355 nm). a. u., arbitrary units. Are these results </w:t>
      </w:r>
      <w:r>
        <w:t>consistent with the ITC results? Is the order of elution expect based on the results?</w:t>
      </w:r>
    </w:p>
    <w:p w:rsidR="00000000" w:rsidRDefault="007F5C5E">
      <w:pPr>
        <w:pStyle w:val="style5"/>
      </w:pPr>
      <w:r>
        <w:rPr>
          <w:noProof/>
        </w:rPr>
        <w:lastRenderedPageBreak/>
        <w:drawing>
          <wp:inline distT="0" distB="0" distL="0" distR="0">
            <wp:extent cx="4314825" cy="3000375"/>
            <wp:effectExtent l="0" t="0" r="9525" b="9525"/>
            <wp:docPr id="17" name="Picture 17" descr="SelBSizeExclusionFig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lBSizeExclusionFig4"/>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4314825" cy="3000375"/>
                    </a:xfrm>
                    <a:prstGeom prst="rect">
                      <a:avLst/>
                    </a:prstGeom>
                    <a:noFill/>
                    <a:ln>
                      <a:noFill/>
                    </a:ln>
                  </pic:spPr>
                </pic:pic>
              </a:graphicData>
            </a:graphic>
          </wp:inline>
        </w:drawing>
      </w:r>
    </w:p>
    <w:p w:rsidR="00000000" w:rsidRDefault="007F5C5E">
      <w:pPr>
        <w:pStyle w:val="NormalWeb"/>
      </w:pPr>
      <w:r>
        <w:rPr>
          <w:rStyle w:val="auto-style141"/>
        </w:rPr>
        <w:t> </w:t>
      </w:r>
    </w:p>
    <w:p w:rsidR="00000000" w:rsidRDefault="007F5C5E">
      <w:pPr>
        <w:pStyle w:val="NormalWeb"/>
      </w:pPr>
      <w:r>
        <w:rPr>
          <w:rStyle w:val="Strong"/>
        </w:rPr>
        <w:t>Summary</w:t>
      </w:r>
    </w:p>
    <w:p w:rsidR="00000000" w:rsidRDefault="007F5C5E">
      <w:pPr>
        <w:pStyle w:val="NormalWeb"/>
      </w:pPr>
      <w:r>
        <w:t>5.  The bindin</w:t>
      </w:r>
      <w:r>
        <w:t xml:space="preserve">g interactions between SelB and GTP are enthalpically favored and entropically disfavored and proceed with a negative - </w:t>
      </w:r>
      <w:r>
        <w:rPr>
          <w:rStyle w:val="auto-style111"/>
        </w:rPr>
        <w:t></w:t>
      </w:r>
      <w:r>
        <w:t xml:space="preserve">Cp.  </w:t>
      </w:r>
    </w:p>
    <w:p w:rsidR="00000000" w:rsidRDefault="007F5C5E">
      <w:pPr>
        <w:pStyle w:val="NormalWeb"/>
      </w:pPr>
      <w:r>
        <w:t xml:space="preserve">a.  List possible factors (not including buffer solution </w:t>
      </w:r>
      <w:r>
        <w:rPr>
          <w:rStyle w:val="auto-style111"/>
        </w:rPr>
        <w:t></w:t>
      </w:r>
      <w:r>
        <w:t>H</w:t>
      </w:r>
      <w:r>
        <w:rPr>
          <w:vertAlign w:val="subscript"/>
        </w:rPr>
        <w:t>ion</w:t>
      </w:r>
      <w:r>
        <w:t>) that could lead to enthalpy changes on binding</w:t>
      </w:r>
    </w:p>
    <w:p w:rsidR="00000000" w:rsidRDefault="007F5C5E">
      <w:pPr>
        <w:pStyle w:val="NormalWeb"/>
      </w:pPr>
      <w:r>
        <w:t xml:space="preserve">b.  List possible </w:t>
      </w:r>
      <w:r>
        <w:t xml:space="preserve">factors (not including buffer solution </w:t>
      </w:r>
      <w:r>
        <w:rPr>
          <w:rStyle w:val="auto-style111"/>
        </w:rPr>
        <w:t></w:t>
      </w:r>
      <w:r>
        <w:t>H</w:t>
      </w:r>
      <w:r>
        <w:rPr>
          <w:vertAlign w:val="subscript"/>
        </w:rPr>
        <w:t>ion</w:t>
      </w:r>
      <w:r>
        <w:t xml:space="preserve"> that could lead to enthalpy changes on binding</w:t>
      </w:r>
    </w:p>
    <w:p w:rsidR="00000000" w:rsidRDefault="007F5C5E">
      <w:pPr>
        <w:pStyle w:val="NormalWeb"/>
      </w:pPr>
      <w:r>
        <w:lastRenderedPageBreak/>
        <w:t>c.  List possible factors that could lead to heat capacity changes on binding</w:t>
      </w:r>
    </w:p>
    <w:p w:rsidR="00000000" w:rsidRDefault="007F5C5E">
      <w:pPr>
        <w:pStyle w:val="auto-style14"/>
      </w:pPr>
      <w:r>
        <w:t> </w:t>
      </w:r>
    </w:p>
    <w:p w:rsidR="00000000" w:rsidRDefault="007F5C5E">
      <w:pPr>
        <w:pStyle w:val="NormalWeb"/>
      </w:pPr>
      <w:r>
        <w:t>6.  Briefly summarize the main findings that clarify RelB function in a cell.</w:t>
      </w:r>
    </w:p>
    <w:sectPr w:rsidR="00000000">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5E" w:rsidRDefault="007F5C5E" w:rsidP="007F5C5E">
      <w:r>
        <w:separator/>
      </w:r>
    </w:p>
  </w:endnote>
  <w:endnote w:type="continuationSeparator" w:id="0">
    <w:p w:rsidR="007F5C5E" w:rsidRDefault="007F5C5E" w:rsidP="007F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186810"/>
      <w:docPartObj>
        <w:docPartGallery w:val="Page Numbers (Bottom of Page)"/>
        <w:docPartUnique/>
      </w:docPartObj>
    </w:sdtPr>
    <w:sdtEndPr>
      <w:rPr>
        <w:noProof/>
      </w:rPr>
    </w:sdtEndPr>
    <w:sdtContent>
      <w:p w:rsidR="007F5C5E" w:rsidRDefault="007F5C5E">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F5C5E" w:rsidRDefault="007F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5E" w:rsidRDefault="007F5C5E" w:rsidP="007F5C5E">
      <w:r>
        <w:separator/>
      </w:r>
    </w:p>
  </w:footnote>
  <w:footnote w:type="continuationSeparator" w:id="0">
    <w:p w:rsidR="007F5C5E" w:rsidRDefault="007F5C5E" w:rsidP="007F5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9437D"/>
    <w:multiLevelType w:val="multilevel"/>
    <w:tmpl w:val="A7AAD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074F"/>
    <w:multiLevelType w:val="multilevel"/>
    <w:tmpl w:val="36968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216E7"/>
    <w:multiLevelType w:val="multilevel"/>
    <w:tmpl w:val="B50E6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85DEF"/>
    <w:multiLevelType w:val="multilevel"/>
    <w:tmpl w:val="C2F6F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6E149F"/>
    <w:multiLevelType w:val="multilevel"/>
    <w:tmpl w:val="ABD47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306E6B"/>
    <w:multiLevelType w:val="multilevel"/>
    <w:tmpl w:val="7932D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913229"/>
    <w:multiLevelType w:val="multilevel"/>
    <w:tmpl w:val="F2844E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A35FC3"/>
    <w:multiLevelType w:val="multilevel"/>
    <w:tmpl w:val="266A2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7"/>
  </w:num>
  <w:num w:numId="5">
    <w:abstractNumId w:val="5"/>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F5C5E"/>
    <w:rsid w:val="007F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0A0410-CD6F-434D-9008-973ADAB98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rFonts w:ascii="Verdana" w:hAnsi="Verdana"/>
      <w:color w:val="333333"/>
      <w:kern w:val="36"/>
      <w:sz w:val="29"/>
      <w:szCs w:val="29"/>
    </w:rPr>
  </w:style>
  <w:style w:type="paragraph" w:styleId="Heading2">
    <w:name w:val="heading 2"/>
    <w:basedOn w:val="Normal"/>
    <w:link w:val="Heading2Char"/>
    <w:uiPriority w:val="9"/>
    <w:qFormat/>
    <w:pPr>
      <w:spacing w:before="100" w:beforeAutospacing="1" w:after="100" w:afterAutospacing="1"/>
      <w:outlineLvl w:val="1"/>
    </w:pPr>
    <w:rPr>
      <w:rFonts w:ascii="Verdana" w:hAnsi="Verdana"/>
      <w:color w:val="333333"/>
      <w:sz w:val="26"/>
      <w:szCs w:val="26"/>
    </w:rPr>
  </w:style>
  <w:style w:type="paragraph" w:styleId="Heading3">
    <w:name w:val="heading 3"/>
    <w:basedOn w:val="Normal"/>
    <w:link w:val="Heading3Char"/>
    <w:uiPriority w:val="9"/>
    <w:qFormat/>
    <w:pPr>
      <w:spacing w:before="100" w:beforeAutospacing="1" w:after="100" w:afterAutospacing="1"/>
      <w:outlineLvl w:val="2"/>
    </w:pPr>
    <w:rPr>
      <w:rFonts w:ascii="Verdana" w:hAnsi="Verdana"/>
      <w:color w:val="666666"/>
      <w:sz w:val="26"/>
      <w:szCs w:val="26"/>
    </w:rPr>
  </w:style>
  <w:style w:type="paragraph" w:styleId="Heading4">
    <w:name w:val="heading 4"/>
    <w:basedOn w:val="Normal"/>
    <w:link w:val="Heading4Char"/>
    <w:uiPriority w:val="9"/>
    <w:qFormat/>
    <w:pPr>
      <w:spacing w:before="100" w:beforeAutospacing="1" w:after="100" w:afterAutospacing="1"/>
      <w:outlineLvl w:val="3"/>
    </w:pPr>
    <w:rPr>
      <w:rFonts w:ascii="Verdana" w:hAnsi="Verdana"/>
      <w:b/>
      <w:bCs/>
      <w:color w:val="000000"/>
      <w:sz w:val="18"/>
      <w:szCs w:val="18"/>
    </w:rPr>
  </w:style>
  <w:style w:type="paragraph" w:styleId="Heading5">
    <w:name w:val="heading 5"/>
    <w:basedOn w:val="Normal"/>
    <w:link w:val="Heading5Char"/>
    <w:uiPriority w:val="9"/>
    <w:qFormat/>
    <w:pPr>
      <w:spacing w:before="100" w:beforeAutospacing="1" w:after="100" w:afterAutospacing="1"/>
      <w:outlineLvl w:val="4"/>
    </w:pPr>
    <w:rPr>
      <w:rFonts w:ascii="Verdana" w:hAnsi="Verdana"/>
      <w:b/>
      <w:bCs/>
      <w:color w:val="000000"/>
      <w:sz w:val="17"/>
      <w:szCs w:val="17"/>
    </w:rPr>
  </w:style>
  <w:style w:type="paragraph" w:styleId="Heading6">
    <w:name w:val="heading 6"/>
    <w:basedOn w:val="Normal"/>
    <w:link w:val="Heading6Char"/>
    <w:uiPriority w:val="9"/>
    <w:qFormat/>
    <w:pPr>
      <w:spacing w:before="100" w:beforeAutospacing="1" w:after="100" w:afterAutospacing="1"/>
      <w:outlineLvl w:val="5"/>
    </w:pPr>
    <w:rPr>
      <w:rFonts w:ascii="Verdana" w:hAnsi="Verdana"/>
      <w:b/>
      <w:bCs/>
      <w:color w:val="000000"/>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strike w:val="0"/>
      <w:dstrike w:val="0"/>
      <w:color w:val="3366CC"/>
      <w:sz w:val="21"/>
      <w:szCs w:val="21"/>
      <w:u w:val="none"/>
      <w:effect w:val="none"/>
    </w:rPr>
  </w:style>
  <w:style w:type="character" w:styleId="FollowedHyperlink">
    <w:name w:val="FollowedHyperlink"/>
    <w:basedOn w:val="DefaultParagraphFont"/>
    <w:uiPriority w:val="99"/>
    <w:semiHidden/>
    <w:unhideWhenUsed/>
    <w:rPr>
      <w:b/>
      <w:bCs/>
      <w:strike w:val="0"/>
      <w:dstrike w:val="0"/>
      <w:color w:val="CC0033"/>
      <w:sz w:val="21"/>
      <w:szCs w:val="21"/>
      <w:u w:val="none"/>
      <w:effect w:val="none"/>
    </w:rPr>
  </w:style>
  <w:style w:type="character" w:styleId="Emphasis">
    <w:name w:val="Emphasis"/>
    <w:basedOn w:val="DefaultParagraphFont"/>
    <w:uiPriority w:val="20"/>
    <w:qFormat/>
    <w:rPr>
      <w:rFonts w:ascii="Verdana" w:hAnsi="Verdana" w:hint="default"/>
      <w:i/>
      <w:iCs/>
      <w:color w:val="000000"/>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spacing w:before="100" w:beforeAutospacing="1" w:after="100" w:afterAutospacing="1" w:line="450" w:lineRule="atLeast"/>
    </w:pPr>
    <w:rPr>
      <w:rFonts w:ascii="Verdana" w:hAnsi="Verdana"/>
      <w:color w:val="000000"/>
      <w:sz w:val="21"/>
      <w:szCs w:val="21"/>
    </w:rPr>
  </w:style>
  <w:style w:type="paragraph" w:customStyle="1" w:styleId="nav">
    <w:name w:val="nav"/>
    <w:basedOn w:val="Normal"/>
    <w:pPr>
      <w:shd w:val="clear" w:color="auto" w:fill="CCCC33"/>
      <w:spacing w:before="100" w:beforeAutospacing="1" w:after="100" w:afterAutospacing="1"/>
    </w:pPr>
    <w:rPr>
      <w:rFonts w:ascii="Verdana" w:hAnsi="Verdana"/>
      <w:color w:val="FFFFFF"/>
      <w:sz w:val="21"/>
      <w:szCs w:val="21"/>
    </w:rPr>
  </w:style>
  <w:style w:type="paragraph" w:customStyle="1" w:styleId="cright">
    <w:name w:val="cright"/>
    <w:basedOn w:val="Normal"/>
    <w:pPr>
      <w:spacing w:before="100" w:beforeAutospacing="1" w:after="100" w:afterAutospacing="1" w:line="240" w:lineRule="atLeast"/>
    </w:pPr>
    <w:rPr>
      <w:rFonts w:ascii="Verdana" w:hAnsi="Verdana"/>
      <w:color w:val="999999"/>
      <w:sz w:val="17"/>
      <w:szCs w:val="17"/>
    </w:rPr>
  </w:style>
  <w:style w:type="paragraph" w:customStyle="1" w:styleId="smcopy">
    <w:name w:val="smcopy"/>
    <w:basedOn w:val="Normal"/>
    <w:pPr>
      <w:spacing w:before="100" w:beforeAutospacing="1" w:after="100" w:afterAutospacing="1" w:line="240" w:lineRule="atLeast"/>
    </w:pPr>
    <w:rPr>
      <w:rFonts w:ascii="Verdana" w:hAnsi="Verdana"/>
      <w:color w:val="333333"/>
      <w:sz w:val="17"/>
      <w:szCs w:val="17"/>
    </w:rPr>
  </w:style>
  <w:style w:type="paragraph" w:customStyle="1" w:styleId="smcopybd">
    <w:name w:val="smcopybd"/>
    <w:basedOn w:val="Normal"/>
    <w:pPr>
      <w:spacing w:before="100" w:beforeAutospacing="1" w:after="100" w:afterAutospacing="1" w:line="240" w:lineRule="atLeast"/>
    </w:pPr>
    <w:rPr>
      <w:rFonts w:ascii="Verdana" w:hAnsi="Verdana"/>
      <w:b/>
      <w:bCs/>
      <w:color w:val="333333"/>
      <w:sz w:val="15"/>
      <w:szCs w:val="15"/>
    </w:rPr>
  </w:style>
  <w:style w:type="paragraph" w:customStyle="1" w:styleId="caps">
    <w:name w:val="caps"/>
    <w:basedOn w:val="Normal"/>
    <w:pPr>
      <w:spacing w:before="100" w:beforeAutospacing="1" w:after="100" w:afterAutospacing="1" w:line="240" w:lineRule="atLeast"/>
    </w:pPr>
    <w:rPr>
      <w:rFonts w:ascii="Verdana" w:hAnsi="Verdana"/>
      <w:caps/>
      <w:color w:val="999999"/>
      <w:spacing w:val="22"/>
      <w:sz w:val="15"/>
      <w:szCs w:val="15"/>
    </w:rPr>
  </w:style>
  <w:style w:type="paragraph" w:customStyle="1" w:styleId="fieldname">
    <w:name w:val="fieldname"/>
    <w:basedOn w:val="Normal"/>
    <w:pPr>
      <w:spacing w:before="100" w:beforeAutospacing="1" w:after="100" w:afterAutospacing="1" w:line="450" w:lineRule="atLeast"/>
    </w:pPr>
    <w:rPr>
      <w:rFonts w:ascii="Arial" w:hAnsi="Arial" w:cs="Arial"/>
      <w:color w:val="000000"/>
      <w:sz w:val="20"/>
      <w:szCs w:val="20"/>
    </w:rPr>
  </w:style>
  <w:style w:type="paragraph" w:customStyle="1" w:styleId="style2">
    <w:name w:val="style2"/>
    <w:basedOn w:val="Normal"/>
    <w:pPr>
      <w:spacing w:before="100" w:beforeAutospacing="1" w:after="100" w:afterAutospacing="1" w:line="450" w:lineRule="atLeast"/>
    </w:pPr>
    <w:rPr>
      <w:rFonts w:ascii="Arial" w:hAnsi="Arial" w:cs="Arial"/>
      <w:color w:val="000000"/>
    </w:rPr>
  </w:style>
  <w:style w:type="paragraph" w:customStyle="1" w:styleId="style4">
    <w:name w:val="style4"/>
    <w:basedOn w:val="Normal"/>
    <w:pPr>
      <w:spacing w:before="100" w:beforeAutospacing="1" w:after="100" w:afterAutospacing="1" w:line="450" w:lineRule="atLeast"/>
    </w:pPr>
    <w:rPr>
      <w:rFonts w:ascii="Arial" w:hAnsi="Arial" w:cs="Arial"/>
      <w:color w:val="000000"/>
      <w:sz w:val="20"/>
      <w:szCs w:val="20"/>
    </w:rPr>
  </w:style>
  <w:style w:type="paragraph" w:customStyle="1" w:styleId="style5">
    <w:name w:val="style5"/>
    <w:basedOn w:val="Normal"/>
    <w:pPr>
      <w:spacing w:before="100" w:beforeAutospacing="1" w:after="100" w:afterAutospacing="1" w:line="450" w:lineRule="atLeast"/>
      <w:jc w:val="center"/>
    </w:pPr>
    <w:rPr>
      <w:rFonts w:ascii="Verdana" w:hAnsi="Verdana"/>
      <w:color w:val="000000"/>
      <w:sz w:val="21"/>
      <w:szCs w:val="21"/>
    </w:rPr>
  </w:style>
  <w:style w:type="paragraph" w:customStyle="1" w:styleId="style6">
    <w:name w:val="style6"/>
    <w:basedOn w:val="Normal"/>
    <w:pPr>
      <w:spacing w:before="100" w:beforeAutospacing="1" w:after="100" w:afterAutospacing="1" w:line="450" w:lineRule="atLeast"/>
      <w:jc w:val="center"/>
    </w:pPr>
    <w:rPr>
      <w:rFonts w:ascii="Arial" w:hAnsi="Arial" w:cs="Arial"/>
      <w:color w:val="000000"/>
      <w:sz w:val="20"/>
      <w:szCs w:val="20"/>
    </w:rPr>
  </w:style>
  <w:style w:type="paragraph" w:customStyle="1" w:styleId="style7">
    <w:name w:val="style7"/>
    <w:basedOn w:val="Normal"/>
    <w:pPr>
      <w:spacing w:before="100" w:beforeAutospacing="1" w:after="100" w:afterAutospacing="1" w:line="450" w:lineRule="atLeast"/>
    </w:pPr>
    <w:rPr>
      <w:rFonts w:ascii="Arial" w:hAnsi="Arial" w:cs="Arial"/>
      <w:color w:val="000000"/>
    </w:rPr>
  </w:style>
  <w:style w:type="paragraph" w:customStyle="1" w:styleId="style8">
    <w:name w:val="style8"/>
    <w:basedOn w:val="Normal"/>
    <w:pPr>
      <w:spacing w:before="100" w:beforeAutospacing="1" w:after="100" w:afterAutospacing="1" w:line="450" w:lineRule="atLeast"/>
    </w:pPr>
    <w:rPr>
      <w:rFonts w:ascii="Verdana" w:hAnsi="Verdana"/>
      <w:color w:val="000000"/>
    </w:rPr>
  </w:style>
  <w:style w:type="paragraph" w:customStyle="1" w:styleId="style9">
    <w:name w:val="style9"/>
    <w:basedOn w:val="Normal"/>
    <w:pPr>
      <w:spacing w:before="100" w:beforeAutospacing="1" w:after="100" w:afterAutospacing="1" w:line="450" w:lineRule="atLeast"/>
    </w:pPr>
    <w:rPr>
      <w:rFonts w:ascii="Verdana" w:hAnsi="Verdana"/>
      <w:color w:val="000000"/>
      <w:sz w:val="21"/>
      <w:szCs w:val="21"/>
    </w:rPr>
  </w:style>
  <w:style w:type="paragraph" w:customStyle="1" w:styleId="style10">
    <w:name w:val="style10"/>
    <w:basedOn w:val="Normal"/>
    <w:pPr>
      <w:spacing w:before="100" w:beforeAutospacing="1" w:after="100" w:afterAutospacing="1" w:line="450" w:lineRule="atLeast"/>
    </w:pPr>
    <w:rPr>
      <w:rFonts w:ascii="Verdana" w:hAnsi="Verdana"/>
      <w:color w:val="000000"/>
      <w:sz w:val="21"/>
      <w:szCs w:val="21"/>
    </w:rPr>
  </w:style>
  <w:style w:type="paragraph" w:customStyle="1" w:styleId="auto-style3">
    <w:name w:val="auto-style3"/>
    <w:basedOn w:val="Normal"/>
    <w:pPr>
      <w:spacing w:before="100" w:beforeAutospacing="1" w:after="100" w:afterAutospacing="1" w:line="450" w:lineRule="atLeast"/>
    </w:pPr>
    <w:rPr>
      <w:rFonts w:ascii="Arial" w:hAnsi="Arial" w:cs="Arial"/>
      <w:color w:val="000000"/>
      <w:sz w:val="21"/>
      <w:szCs w:val="21"/>
    </w:rPr>
  </w:style>
  <w:style w:type="paragraph" w:customStyle="1" w:styleId="auto-style8">
    <w:name w:val="auto-style8"/>
    <w:basedOn w:val="Normal"/>
    <w:pPr>
      <w:spacing w:before="100" w:beforeAutospacing="1" w:after="100" w:afterAutospacing="1" w:line="450" w:lineRule="atLeast"/>
    </w:pPr>
    <w:rPr>
      <w:rFonts w:ascii="Verdana" w:hAnsi="Verdana"/>
      <w:color w:val="000000"/>
      <w:sz w:val="21"/>
      <w:szCs w:val="21"/>
      <w:u w:val="single"/>
    </w:rPr>
  </w:style>
  <w:style w:type="paragraph" w:customStyle="1" w:styleId="auto-style9">
    <w:name w:val="auto-style9"/>
    <w:basedOn w:val="Normal"/>
    <w:pPr>
      <w:spacing w:before="100" w:beforeAutospacing="1" w:after="100" w:afterAutospacing="1" w:line="450" w:lineRule="atLeast"/>
    </w:pPr>
    <w:rPr>
      <w:rFonts w:ascii="Verdana" w:hAnsi="Verdana"/>
      <w:color w:val="000000"/>
      <w:sz w:val="21"/>
      <w:szCs w:val="21"/>
      <w:u w:val="single"/>
    </w:rPr>
  </w:style>
  <w:style w:type="paragraph" w:customStyle="1" w:styleId="auto-style10">
    <w:name w:val="auto-style10"/>
    <w:basedOn w:val="Normal"/>
    <w:pPr>
      <w:spacing w:before="100" w:beforeAutospacing="1" w:after="100" w:afterAutospacing="1" w:line="450" w:lineRule="atLeast"/>
    </w:pPr>
    <w:rPr>
      <w:rFonts w:ascii="Verdana" w:hAnsi="Verdana"/>
      <w:b/>
      <w:bCs/>
      <w:color w:val="3366CC"/>
      <w:sz w:val="21"/>
      <w:szCs w:val="21"/>
    </w:rPr>
  </w:style>
  <w:style w:type="paragraph" w:customStyle="1" w:styleId="auto-style11">
    <w:name w:val="auto-style11"/>
    <w:basedOn w:val="Normal"/>
    <w:pPr>
      <w:spacing w:before="100" w:beforeAutospacing="1" w:after="100" w:afterAutospacing="1" w:line="450" w:lineRule="atLeast"/>
    </w:pPr>
    <w:rPr>
      <w:rFonts w:ascii="Symbol" w:hAnsi="Symbol"/>
      <w:color w:val="000000"/>
      <w:sz w:val="21"/>
      <w:szCs w:val="21"/>
    </w:rPr>
  </w:style>
  <w:style w:type="paragraph" w:customStyle="1" w:styleId="auto-style12">
    <w:name w:val="auto-style12"/>
    <w:basedOn w:val="Normal"/>
    <w:pPr>
      <w:spacing w:before="100" w:beforeAutospacing="1" w:after="100" w:afterAutospacing="1" w:line="450" w:lineRule="atLeast"/>
    </w:pPr>
    <w:rPr>
      <w:rFonts w:ascii="Cambria" w:hAnsi="Cambria"/>
      <w:color w:val="000000"/>
      <w:sz w:val="21"/>
      <w:szCs w:val="21"/>
    </w:rPr>
  </w:style>
  <w:style w:type="paragraph" w:customStyle="1" w:styleId="auto-style13">
    <w:name w:val="auto-style13"/>
    <w:basedOn w:val="Normal"/>
    <w:pPr>
      <w:spacing w:before="100" w:beforeAutospacing="1" w:after="100" w:afterAutospacing="1" w:line="450" w:lineRule="atLeast"/>
      <w:jc w:val="center"/>
    </w:pPr>
    <w:rPr>
      <w:rFonts w:ascii="Arial" w:hAnsi="Arial" w:cs="Arial"/>
      <w:color w:val="FF0000"/>
      <w:sz w:val="21"/>
      <w:szCs w:val="21"/>
    </w:rPr>
  </w:style>
  <w:style w:type="paragraph" w:customStyle="1" w:styleId="auto-style14">
    <w:name w:val="auto-style14"/>
    <w:basedOn w:val="Normal"/>
    <w:pPr>
      <w:spacing w:before="100" w:beforeAutospacing="1" w:after="100" w:afterAutospacing="1" w:line="450" w:lineRule="atLeast"/>
    </w:pPr>
    <w:rPr>
      <w:rFonts w:ascii="Verdana" w:hAnsi="Verdana"/>
      <w:color w:val="FF0000"/>
      <w:sz w:val="21"/>
      <w:szCs w:val="21"/>
    </w:rPr>
  </w:style>
  <w:style w:type="paragraph" w:customStyle="1" w:styleId="auto-style15">
    <w:name w:val="auto-style15"/>
    <w:basedOn w:val="Normal"/>
    <w:pPr>
      <w:spacing w:before="100" w:beforeAutospacing="1" w:after="100" w:afterAutospacing="1" w:line="450" w:lineRule="atLeast"/>
      <w:ind w:left="600"/>
    </w:pPr>
    <w:rPr>
      <w:rFonts w:ascii="Verdana" w:hAnsi="Verdana"/>
      <w:color w:val="000000"/>
      <w:sz w:val="21"/>
      <w:szCs w:val="21"/>
    </w:rPr>
  </w:style>
  <w:style w:type="paragraph" w:customStyle="1" w:styleId="auto-style16">
    <w:name w:val="auto-style16"/>
    <w:basedOn w:val="Normal"/>
    <w:pPr>
      <w:spacing w:before="100" w:beforeAutospacing="1" w:after="100" w:afterAutospacing="1" w:line="450" w:lineRule="atLeast"/>
    </w:pPr>
    <w:rPr>
      <w:rFonts w:ascii="Verdana" w:hAnsi="Verdana"/>
      <w:color w:val="000000"/>
      <w:sz w:val="21"/>
      <w:szCs w:val="21"/>
    </w:rPr>
  </w:style>
  <w:style w:type="paragraph" w:customStyle="1" w:styleId="auto-style17">
    <w:name w:val="auto-style17"/>
    <w:basedOn w:val="Normal"/>
    <w:pPr>
      <w:spacing w:before="100" w:beforeAutospacing="1" w:after="100" w:afterAutospacing="1" w:line="450" w:lineRule="atLeast"/>
    </w:pPr>
    <w:rPr>
      <w:rFonts w:ascii="Verdana" w:hAnsi="Verdana"/>
      <w:color w:val="FF0000"/>
      <w:sz w:val="21"/>
      <w:szCs w:val="21"/>
    </w:rPr>
  </w:style>
  <w:style w:type="paragraph" w:customStyle="1" w:styleId="auto-style18">
    <w:name w:val="auto-style18"/>
    <w:basedOn w:val="Normal"/>
    <w:pPr>
      <w:spacing w:before="100" w:beforeAutospacing="1" w:after="100" w:afterAutospacing="1" w:line="450" w:lineRule="atLeast"/>
    </w:pPr>
    <w:rPr>
      <w:rFonts w:ascii="Verdana" w:hAnsi="Verdana"/>
      <w:color w:val="000000"/>
      <w:sz w:val="21"/>
      <w:szCs w:val="21"/>
    </w:rPr>
  </w:style>
  <w:style w:type="character" w:styleId="Strong">
    <w:name w:val="Strong"/>
    <w:basedOn w:val="DefaultParagraphFont"/>
    <w:uiPriority w:val="22"/>
    <w:qFormat/>
    <w:rPr>
      <w:b/>
      <w:bCs/>
    </w:rPr>
  </w:style>
  <w:style w:type="character" w:styleId="HTMLCite">
    <w:name w:val="HTML Cite"/>
    <w:basedOn w:val="DefaultParagraphFont"/>
    <w:uiPriority w:val="99"/>
    <w:semiHidden/>
    <w:unhideWhenUsed/>
    <w:rPr>
      <w:i/>
      <w:iCs/>
    </w:rPr>
  </w:style>
  <w:style w:type="character" w:customStyle="1" w:styleId="slug-pages">
    <w:name w:val="slug-pages"/>
    <w:basedOn w:val="DefaultParagraphFont"/>
  </w:style>
  <w:style w:type="character" w:customStyle="1" w:styleId="auto-style81">
    <w:name w:val="auto-style81"/>
    <w:basedOn w:val="DefaultParagraphFont"/>
    <w:rPr>
      <w:u w:val="single"/>
    </w:rPr>
  </w:style>
  <w:style w:type="character" w:customStyle="1" w:styleId="auto-style111">
    <w:name w:val="auto-style111"/>
    <w:basedOn w:val="DefaultParagraphFont"/>
    <w:rPr>
      <w:rFonts w:ascii="Symbol" w:hAnsi="Symbol" w:hint="default"/>
    </w:rPr>
  </w:style>
  <w:style w:type="character" w:customStyle="1" w:styleId="auto-style101">
    <w:name w:val="auto-style101"/>
    <w:basedOn w:val="DefaultParagraphFont"/>
    <w:rPr>
      <w:b/>
      <w:bCs/>
      <w:color w:val="3366CC"/>
    </w:rPr>
  </w:style>
  <w:style w:type="character" w:customStyle="1" w:styleId="sc">
    <w:name w:val="sc"/>
    <w:basedOn w:val="DefaultParagraphFont"/>
  </w:style>
  <w:style w:type="character" w:customStyle="1" w:styleId="auto-style121">
    <w:name w:val="auto-style121"/>
    <w:basedOn w:val="DefaultParagraphFont"/>
    <w:rPr>
      <w:rFonts w:ascii="Cambria" w:hAnsi="Cambria" w:hint="default"/>
    </w:rPr>
  </w:style>
  <w:style w:type="character" w:customStyle="1" w:styleId="auto-style181">
    <w:name w:val="auto-style181"/>
    <w:basedOn w:val="DefaultParagraphFont"/>
    <w:rPr>
      <w:rFonts w:ascii="Verdana" w:hAnsi="Verdana" w:hint="default"/>
    </w:rPr>
  </w:style>
  <w:style w:type="character" w:customStyle="1" w:styleId="auto-style141">
    <w:name w:val="auto-style141"/>
    <w:basedOn w:val="DefaultParagraphFont"/>
    <w:rPr>
      <w:color w:val="FF0000"/>
    </w:rPr>
  </w:style>
  <w:style w:type="paragraph" w:styleId="Header">
    <w:name w:val="header"/>
    <w:basedOn w:val="Normal"/>
    <w:link w:val="HeaderChar"/>
    <w:uiPriority w:val="99"/>
    <w:unhideWhenUsed/>
    <w:rsid w:val="007F5C5E"/>
    <w:pPr>
      <w:tabs>
        <w:tab w:val="center" w:pos="4680"/>
        <w:tab w:val="right" w:pos="9360"/>
      </w:tabs>
    </w:pPr>
  </w:style>
  <w:style w:type="character" w:customStyle="1" w:styleId="HeaderChar">
    <w:name w:val="Header Char"/>
    <w:basedOn w:val="DefaultParagraphFont"/>
    <w:link w:val="Header"/>
    <w:uiPriority w:val="99"/>
    <w:rsid w:val="007F5C5E"/>
    <w:rPr>
      <w:rFonts w:eastAsiaTheme="minorEastAsia"/>
      <w:sz w:val="24"/>
      <w:szCs w:val="24"/>
    </w:rPr>
  </w:style>
  <w:style w:type="paragraph" w:styleId="Footer">
    <w:name w:val="footer"/>
    <w:basedOn w:val="Normal"/>
    <w:link w:val="FooterChar"/>
    <w:uiPriority w:val="99"/>
    <w:unhideWhenUsed/>
    <w:rsid w:val="007F5C5E"/>
    <w:pPr>
      <w:tabs>
        <w:tab w:val="center" w:pos="4680"/>
        <w:tab w:val="right" w:pos="9360"/>
      </w:tabs>
    </w:pPr>
  </w:style>
  <w:style w:type="character" w:customStyle="1" w:styleId="FooterChar">
    <w:name w:val="Footer Char"/>
    <w:basedOn w:val="DefaultParagraphFont"/>
    <w:link w:val="Footer"/>
    <w:uiPriority w:val="99"/>
    <w:rsid w:val="007F5C5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sju.edu/chemistry" TargetMode="External"/><Relationship Id="rId13" Type="http://schemas.openxmlformats.org/officeDocument/2006/relationships/hyperlink" Target="http://www.jbc.org/site/misc/Copyright_Permission.xhtml" TargetMode="External"/><Relationship Id="rId18" Type="http://schemas.openxmlformats.org/officeDocument/2006/relationships/image" Target="http://employees.csbsju.edu/hjakubowski/classes/ch331/bind/ITCCell.gif" TargetMode="External"/><Relationship Id="rId26" Type="http://schemas.openxmlformats.org/officeDocument/2006/relationships/image" Target="http://employees.csbsju.edu/hjakubowski/BiochemAssessQuestions/ThermoBindingI/TranslationFactSelB/TableThermoParamters.gif" TargetMode="External"/><Relationship Id="rId3" Type="http://schemas.openxmlformats.org/officeDocument/2006/relationships/settings" Target="settings.xml"/><Relationship Id="rId21" Type="http://schemas.openxmlformats.org/officeDocument/2006/relationships/image" Target="http://employees.csbsju.edu/hjakubowski/BiochemAssessQuestions/ThermoBindingI/TranslationFactSelB/delGequation.gif" TargetMode="External"/><Relationship Id="rId34" Type="http://schemas.openxmlformats.org/officeDocument/2006/relationships/theme" Target="theme/theme1.xml"/><Relationship Id="rId7" Type="http://schemas.openxmlformats.org/officeDocument/2006/relationships/hyperlink" Target="http://employees.csbsju.edu/hjakubowski/" TargetMode="External"/><Relationship Id="rId12" Type="http://schemas.openxmlformats.org/officeDocument/2006/relationships/hyperlink" Target="http://www.jbc.org/search?author1=Marina+V.+Rodnina&amp;sortspec=date&amp;submit=Submit" TargetMode="External"/><Relationship Id="rId17" Type="http://schemas.openxmlformats.org/officeDocument/2006/relationships/hyperlink" Target="http://employees.csbsju.edu/hjakubowski/classes/ch331/lipidstruct/olthermoreview.htm" TargetMode="External"/><Relationship Id="rId25" Type="http://schemas.openxmlformats.org/officeDocument/2006/relationships/image" Target="http://employees.csbsju.edu/hjakubowski/BiochemAssessQuestions/ThermoBindingI/TranslationFactSelB/GTPanalogs.gi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mployees.csbsju.edu/hjakubowski/classes/ch331/bind/olbindderveq.html" TargetMode="External"/><Relationship Id="rId20" Type="http://schemas.openxmlformats.org/officeDocument/2006/relationships/image" Target="http://employees.csbsju.edu/hjakubowski/BiochemAssessQuestions/ThermoBindingI/TranslationFactSelB/axes1.gif" TargetMode="External"/><Relationship Id="rId29" Type="http://schemas.openxmlformats.org/officeDocument/2006/relationships/image" Target="http://employees.csbsju.edu/hjakubowski/BiochemAssessQuestions/ThermoBindingI/TranslationFactSelB/SelBGTPTable2.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bc.org/search?author1=Andrey+L.+Konevega&amp;sortspec=date&amp;submit=Submit" TargetMode="External"/><Relationship Id="rId24" Type="http://schemas.openxmlformats.org/officeDocument/2006/relationships/image" Target="http://employees.csbsju.edu/hjakubowski/BiochemAssessQuestions/ThermoBindingI/TranslationFactSelB/SelB_Fig1_abc.gi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mployees.csbsju.edu/hjakubowski/BiochemAssessQuestions/MCAT2015_Biochem_Chem_ConceptsContent.xlsx" TargetMode="External"/><Relationship Id="rId23" Type="http://schemas.openxmlformats.org/officeDocument/2006/relationships/image" Target="http://employees.csbsju.edu/hjakubowski/BiochemAssessQuestions/ThermoBindingI/TranslationFactSelB/DelGHS.gif" TargetMode="External"/><Relationship Id="rId28" Type="http://schemas.openxmlformats.org/officeDocument/2006/relationships/image" Target="http://employees.csbsju.edu/hjakubowski/BiochemAssessQuestions/ThermoBindingI/TranslationFactSelB/DelGTransferBenzeneH2O.gif" TargetMode="External"/><Relationship Id="rId10" Type="http://schemas.openxmlformats.org/officeDocument/2006/relationships/hyperlink" Target="http://www.jbc.org/search?author1=Alena+Paleskava&amp;sortspec=date&amp;submit=Submit" TargetMode="External"/><Relationship Id="rId19" Type="http://schemas.openxmlformats.org/officeDocument/2006/relationships/image" Target="http://employees.csbsju.edu/hjakubowski/BiochemAssessQuestions/ThermoBindingI/TranslationFactSelB/M_L_ML_KD.gif" TargetMode="External"/><Relationship Id="rId31" Type="http://schemas.openxmlformats.org/officeDocument/2006/relationships/image" Target="http://employees.csbsju.edu/hjakubowski/BiochemAssessQuestions/ThermoBindingI/TranslationFactSelB/SelBSizeExclusionFig4.gif" TargetMode="External"/><Relationship Id="rId4" Type="http://schemas.openxmlformats.org/officeDocument/2006/relationships/webSettings" Target="webSettings.xml"/><Relationship Id="rId9" Type="http://schemas.openxmlformats.org/officeDocument/2006/relationships/hyperlink" Target="http://www.csbsju.edu/" TargetMode="External"/><Relationship Id="rId14" Type="http://schemas.openxmlformats.org/officeDocument/2006/relationships/hyperlink" Target="http://employees.csbsju.edu/hjakubowski/BiochemAssessQuestions/ASBMBCoreConceptsObjectives050314.xlsx" TargetMode="External"/><Relationship Id="rId22" Type="http://schemas.openxmlformats.org/officeDocument/2006/relationships/image" Target="http://employees.csbsju.edu/hjakubowski/BiochemAssessQuestions/ThermoBindingI/TranslationFactSelB/ITC_GTPvsGDP.gif" TargetMode="External"/><Relationship Id="rId27" Type="http://schemas.openxmlformats.org/officeDocument/2006/relationships/image" Target="http://employees.csbsju.edu/hjakubowski/BiochemAssessQuestions/ThermoBindingI/TranslationFactSelB/SelBFig2.gif" TargetMode="External"/><Relationship Id="rId30" Type="http://schemas.openxmlformats.org/officeDocument/2006/relationships/image" Target="http://employees.csbsju.edu/hjakubowski/BiochemAssessQuestions/ThermoBindingI/TranslationFactSelB/SelBGTPFig3.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2897</Words>
  <Characters>16615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Biochemistry Assesment: Thermodynamics of Binding Reactions</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Biochemistry Assesment: Thermodynamics of Binding Reactions</dc:title>
  <dc:subject/>
  <dc:creator>Henry</dc:creator>
  <cp:keywords/>
  <dc:description/>
  <cp:lastModifiedBy>Henry</cp:lastModifiedBy>
  <cp:revision>2</cp:revision>
  <dcterms:created xsi:type="dcterms:W3CDTF">2014-05-21T22:41:00Z</dcterms:created>
  <dcterms:modified xsi:type="dcterms:W3CDTF">2014-05-21T22:41:00Z</dcterms:modified>
</cp:coreProperties>
</file>